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30ABCEDC" w:rsidR="00437F40" w:rsidRPr="00437F40" w:rsidRDefault="003255C4" w:rsidP="003945A0">
            <w:pPr>
              <w:spacing w:after="120"/>
              <w:jc w:val="center"/>
              <w:rPr>
                <w:rFonts w:ascii="Arial" w:hAnsi="Arial" w:cs="Arial"/>
                <w:b/>
              </w:rPr>
            </w:pPr>
            <w:r>
              <w:rPr>
                <w:rFonts w:ascii="Arial" w:hAnsi="Arial" w:cs="Arial"/>
                <w:b/>
                <w:sz w:val="28"/>
              </w:rPr>
              <w:t>POR 0</w:t>
            </w:r>
            <w:r w:rsidR="00EB7CB2">
              <w:rPr>
                <w:rFonts w:ascii="Arial" w:hAnsi="Arial" w:cs="Arial"/>
                <w:b/>
                <w:sz w:val="28"/>
              </w:rPr>
              <w:t>4</w:t>
            </w:r>
          </w:p>
        </w:tc>
        <w:tc>
          <w:tcPr>
            <w:tcW w:w="7829" w:type="dxa"/>
            <w:gridSpan w:val="4"/>
            <w:tcBorders>
              <w:top w:val="nil"/>
              <w:left w:val="nil"/>
            </w:tcBorders>
            <w:vAlign w:val="center"/>
          </w:tcPr>
          <w:p w14:paraId="5083C808" w14:textId="0F35C0F3" w:rsidR="00437F40" w:rsidRPr="008C0514" w:rsidRDefault="00EB7CB2" w:rsidP="00BD70CD">
            <w:pPr>
              <w:spacing w:after="120"/>
              <w:jc w:val="center"/>
              <w:rPr>
                <w:rFonts w:ascii="Arial" w:hAnsi="Arial" w:cs="Arial"/>
                <w:b/>
                <w:sz w:val="28"/>
              </w:rPr>
            </w:pPr>
            <w:r>
              <w:rPr>
                <w:rFonts w:ascii="Arial" w:hAnsi="Arial" w:cs="Arial"/>
                <w:b/>
                <w:sz w:val="28"/>
              </w:rPr>
              <w:t>Medical gases</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537DEDFF" w14:textId="77777777" w:rsidR="00DC7FC7" w:rsidRPr="00E0552F" w:rsidRDefault="00DC7FC7" w:rsidP="00DC7FC7">
            <w:pPr>
              <w:rPr>
                <w:rFonts w:ascii="Arial" w:hAnsi="Arial" w:cs="Arial"/>
                <w:sz w:val="20"/>
                <w:szCs w:val="23"/>
              </w:rPr>
            </w:pPr>
            <w:r w:rsidRPr="00E0552F">
              <w:rPr>
                <w:rFonts w:ascii="Arial" w:hAnsi="Arial" w:cs="Arial"/>
                <w:sz w:val="20"/>
                <w:szCs w:val="23"/>
              </w:rPr>
              <w:t>Manual handling</w:t>
            </w:r>
          </w:p>
          <w:p w14:paraId="21204042" w14:textId="77777777" w:rsidR="00DC7FC7" w:rsidRPr="00E0552F" w:rsidRDefault="00DC7FC7" w:rsidP="00DC7FC7">
            <w:pPr>
              <w:rPr>
                <w:rFonts w:ascii="Arial" w:hAnsi="Arial" w:cs="Arial"/>
                <w:sz w:val="20"/>
                <w:szCs w:val="23"/>
              </w:rPr>
            </w:pPr>
          </w:p>
          <w:p w14:paraId="27CF48A3" w14:textId="77777777" w:rsidR="008C4FCA" w:rsidRPr="008C4FCA" w:rsidRDefault="008C4FCA" w:rsidP="008C4FCA">
            <w:pPr>
              <w:rPr>
                <w:rFonts w:ascii="Arial" w:hAnsi="Arial" w:cs="Arial"/>
                <w:bCs/>
                <w:sz w:val="20"/>
                <w:szCs w:val="20"/>
              </w:rPr>
            </w:pPr>
            <w:r w:rsidRPr="008C4FCA">
              <w:rPr>
                <w:rFonts w:ascii="Arial" w:hAnsi="Arial" w:cs="Arial"/>
                <w:bCs/>
                <w:sz w:val="20"/>
                <w:szCs w:val="20"/>
              </w:rPr>
              <w:t>Falling cylinders</w:t>
            </w:r>
          </w:p>
          <w:p w14:paraId="56225ECB" w14:textId="77777777" w:rsidR="008C4FCA" w:rsidRPr="008C4FCA" w:rsidRDefault="008C4FCA" w:rsidP="008C4FCA">
            <w:pPr>
              <w:rPr>
                <w:rFonts w:ascii="Arial" w:hAnsi="Arial" w:cs="Arial"/>
                <w:bCs/>
                <w:sz w:val="20"/>
                <w:szCs w:val="20"/>
              </w:rPr>
            </w:pPr>
          </w:p>
          <w:p w14:paraId="7F9B79D1" w14:textId="704D4ACF" w:rsidR="008C4FCA" w:rsidRDefault="008C4FCA" w:rsidP="008C4FCA">
            <w:pPr>
              <w:rPr>
                <w:rFonts w:ascii="Arial" w:hAnsi="Arial" w:cs="Arial"/>
                <w:bCs/>
                <w:sz w:val="20"/>
                <w:szCs w:val="20"/>
              </w:rPr>
            </w:pPr>
            <w:r w:rsidRPr="008C4FCA">
              <w:rPr>
                <w:rFonts w:ascii="Arial" w:hAnsi="Arial" w:cs="Arial"/>
                <w:bCs/>
                <w:sz w:val="20"/>
                <w:szCs w:val="20"/>
              </w:rPr>
              <w:t>Leaking cylinders</w:t>
            </w:r>
            <w:r w:rsidR="003D3944">
              <w:rPr>
                <w:rFonts w:ascii="Arial" w:hAnsi="Arial" w:cs="Arial"/>
                <w:bCs/>
                <w:sz w:val="20"/>
                <w:szCs w:val="20"/>
              </w:rPr>
              <w:t>-</w:t>
            </w:r>
          </w:p>
          <w:p w14:paraId="7315642A" w14:textId="77777777" w:rsidR="003D3944" w:rsidRPr="003D3944" w:rsidRDefault="003D3944" w:rsidP="003D3944">
            <w:pPr>
              <w:rPr>
                <w:rFonts w:ascii="Arial" w:hAnsi="Arial" w:cs="Arial"/>
                <w:sz w:val="20"/>
                <w:szCs w:val="20"/>
              </w:rPr>
            </w:pPr>
            <w:r w:rsidRPr="003D3944">
              <w:rPr>
                <w:rFonts w:ascii="Arial" w:hAnsi="Arial" w:cs="Arial"/>
                <w:sz w:val="20"/>
                <w:szCs w:val="20"/>
              </w:rPr>
              <w:t>Medical oxygen</w:t>
            </w:r>
          </w:p>
          <w:p w14:paraId="16B081B7" w14:textId="77777777" w:rsidR="003D3944" w:rsidRPr="003D3944" w:rsidRDefault="003D3944" w:rsidP="003D3944">
            <w:pPr>
              <w:rPr>
                <w:rFonts w:ascii="Arial" w:hAnsi="Arial" w:cs="Arial"/>
                <w:sz w:val="20"/>
                <w:szCs w:val="20"/>
              </w:rPr>
            </w:pPr>
            <w:r w:rsidRPr="003D3944">
              <w:rPr>
                <w:rFonts w:ascii="Arial" w:hAnsi="Arial" w:cs="Arial"/>
                <w:sz w:val="20"/>
                <w:szCs w:val="20"/>
              </w:rPr>
              <w:t>Medical air</w:t>
            </w:r>
          </w:p>
          <w:p w14:paraId="0C6D1709" w14:textId="77777777" w:rsidR="003D3944" w:rsidRPr="003D3944" w:rsidRDefault="003D3944" w:rsidP="003D3944">
            <w:pPr>
              <w:rPr>
                <w:rFonts w:ascii="Arial" w:hAnsi="Arial" w:cs="Arial"/>
                <w:sz w:val="20"/>
                <w:szCs w:val="20"/>
              </w:rPr>
            </w:pPr>
            <w:r w:rsidRPr="003D3944">
              <w:rPr>
                <w:rFonts w:ascii="Arial" w:hAnsi="Arial" w:cs="Arial"/>
                <w:sz w:val="20"/>
                <w:szCs w:val="20"/>
              </w:rPr>
              <w:t>Medical carbon dioxide</w:t>
            </w:r>
          </w:p>
          <w:p w14:paraId="501967AB" w14:textId="77777777" w:rsidR="003D3944" w:rsidRPr="003D3944" w:rsidRDefault="003D3944" w:rsidP="003D3944">
            <w:pPr>
              <w:rPr>
                <w:rFonts w:ascii="Arial" w:hAnsi="Arial" w:cs="Arial"/>
                <w:sz w:val="20"/>
                <w:szCs w:val="20"/>
              </w:rPr>
            </w:pPr>
            <w:r w:rsidRPr="003D3944">
              <w:rPr>
                <w:rFonts w:ascii="Arial" w:hAnsi="Arial" w:cs="Arial"/>
                <w:sz w:val="20"/>
                <w:szCs w:val="20"/>
              </w:rPr>
              <w:t>Entonox</w:t>
            </w:r>
          </w:p>
          <w:p w14:paraId="603BD98A" w14:textId="79AAFC2F" w:rsidR="003D3944" w:rsidRPr="008C4FCA" w:rsidRDefault="003D3944" w:rsidP="003D3944">
            <w:pPr>
              <w:rPr>
                <w:rFonts w:ascii="Arial" w:hAnsi="Arial" w:cs="Arial"/>
                <w:bCs/>
                <w:sz w:val="20"/>
                <w:szCs w:val="20"/>
              </w:rPr>
            </w:pPr>
            <w:r w:rsidRPr="003D3944">
              <w:rPr>
                <w:rFonts w:ascii="Arial" w:hAnsi="Arial" w:cs="Arial"/>
                <w:sz w:val="20"/>
                <w:szCs w:val="20"/>
              </w:rPr>
              <w:t xml:space="preserve">Air </w:t>
            </w:r>
            <w:proofErr w:type="spellStart"/>
            <w:r w:rsidRPr="003D3944">
              <w:rPr>
                <w:rFonts w:ascii="Arial" w:hAnsi="Arial" w:cs="Arial"/>
                <w:sz w:val="20"/>
                <w:szCs w:val="20"/>
              </w:rPr>
              <w:t>liquide</w:t>
            </w:r>
            <w:proofErr w:type="spellEnd"/>
          </w:p>
          <w:p w14:paraId="63CA7C6A" w14:textId="380E9A8F" w:rsidR="00FA5043" w:rsidRPr="001341B1" w:rsidRDefault="00FA5043" w:rsidP="009E1964">
            <w:pPr>
              <w:rPr>
                <w:rFonts w:ascii="Arial" w:hAnsi="Arial" w:cs="Arial"/>
                <w:sz w:val="20"/>
                <w:szCs w:val="20"/>
              </w:rPr>
            </w:pPr>
          </w:p>
        </w:tc>
        <w:tc>
          <w:tcPr>
            <w:tcW w:w="4569" w:type="dxa"/>
            <w:gridSpan w:val="2"/>
            <w:tcBorders>
              <w:top w:val="nil"/>
            </w:tcBorders>
          </w:tcPr>
          <w:p w14:paraId="6619B5AB" w14:textId="77777777" w:rsidR="00883A86" w:rsidRPr="00883A86" w:rsidRDefault="00883A86" w:rsidP="00883A86">
            <w:pPr>
              <w:rPr>
                <w:rFonts w:ascii="Arial" w:hAnsi="Arial" w:cs="Arial"/>
                <w:bCs/>
                <w:sz w:val="20"/>
                <w:szCs w:val="20"/>
              </w:rPr>
            </w:pPr>
            <w:r w:rsidRPr="00883A86">
              <w:rPr>
                <w:rFonts w:ascii="Arial" w:hAnsi="Arial" w:cs="Arial"/>
                <w:bCs/>
                <w:sz w:val="20"/>
                <w:szCs w:val="20"/>
              </w:rPr>
              <w:t>Back and muscle strain</w:t>
            </w:r>
          </w:p>
          <w:p w14:paraId="60F13E82" w14:textId="77777777" w:rsidR="00883A86" w:rsidRPr="00883A86" w:rsidRDefault="00883A86" w:rsidP="00883A86">
            <w:pPr>
              <w:rPr>
                <w:rFonts w:ascii="Arial" w:hAnsi="Arial" w:cs="Arial"/>
                <w:bCs/>
                <w:sz w:val="20"/>
                <w:szCs w:val="20"/>
              </w:rPr>
            </w:pPr>
            <w:r w:rsidRPr="00883A86">
              <w:rPr>
                <w:rFonts w:ascii="Arial" w:hAnsi="Arial" w:cs="Arial"/>
                <w:bCs/>
                <w:sz w:val="20"/>
                <w:szCs w:val="20"/>
              </w:rPr>
              <w:t>Crushing or impact injuries</w:t>
            </w:r>
          </w:p>
          <w:p w14:paraId="3E5F388B" w14:textId="77777777" w:rsidR="00883A86" w:rsidRPr="00883A86" w:rsidRDefault="00883A86" w:rsidP="00883A86">
            <w:pPr>
              <w:rPr>
                <w:rFonts w:ascii="Arial" w:hAnsi="Arial" w:cs="Arial"/>
                <w:bCs/>
                <w:sz w:val="20"/>
                <w:szCs w:val="20"/>
              </w:rPr>
            </w:pPr>
            <w:r w:rsidRPr="00883A86">
              <w:rPr>
                <w:rFonts w:ascii="Arial" w:hAnsi="Arial" w:cs="Arial"/>
                <w:bCs/>
                <w:sz w:val="20"/>
                <w:szCs w:val="20"/>
              </w:rPr>
              <w:t>Leakage of gas, giving rise to:</w:t>
            </w:r>
          </w:p>
          <w:p w14:paraId="66090B0E" w14:textId="77777777" w:rsidR="00883A86" w:rsidRPr="00883A86" w:rsidRDefault="00883A86" w:rsidP="00883A86">
            <w:pPr>
              <w:numPr>
                <w:ilvl w:val="0"/>
                <w:numId w:val="9"/>
              </w:numPr>
              <w:tabs>
                <w:tab w:val="clear" w:pos="360"/>
                <w:tab w:val="num" w:pos="720"/>
              </w:tabs>
              <w:ind w:left="720"/>
              <w:rPr>
                <w:rFonts w:ascii="Arial" w:hAnsi="Arial" w:cs="Arial"/>
                <w:bCs/>
                <w:sz w:val="20"/>
                <w:szCs w:val="20"/>
              </w:rPr>
            </w:pPr>
            <w:r w:rsidRPr="00883A86">
              <w:rPr>
                <w:rFonts w:ascii="Arial" w:hAnsi="Arial" w:cs="Arial"/>
                <w:bCs/>
                <w:sz w:val="20"/>
                <w:szCs w:val="20"/>
              </w:rPr>
              <w:t>Asphyxiation</w:t>
            </w:r>
          </w:p>
          <w:p w14:paraId="03F9FAC5" w14:textId="77777777" w:rsidR="00883A86" w:rsidRPr="00883A86" w:rsidRDefault="00883A86" w:rsidP="00883A86">
            <w:pPr>
              <w:numPr>
                <w:ilvl w:val="0"/>
                <w:numId w:val="9"/>
              </w:numPr>
              <w:tabs>
                <w:tab w:val="clear" w:pos="360"/>
                <w:tab w:val="num" w:pos="720"/>
              </w:tabs>
              <w:ind w:left="720"/>
              <w:rPr>
                <w:rFonts w:ascii="Arial" w:hAnsi="Arial" w:cs="Arial"/>
                <w:bCs/>
                <w:sz w:val="20"/>
                <w:szCs w:val="20"/>
              </w:rPr>
            </w:pPr>
            <w:r w:rsidRPr="00883A86">
              <w:rPr>
                <w:rFonts w:ascii="Arial" w:hAnsi="Arial" w:cs="Arial"/>
                <w:bCs/>
                <w:sz w:val="20"/>
                <w:szCs w:val="20"/>
              </w:rPr>
              <w:t>Poisoning</w:t>
            </w:r>
          </w:p>
          <w:p w14:paraId="28161383" w14:textId="77777777" w:rsidR="00883A86" w:rsidRPr="00883A86" w:rsidRDefault="00883A86" w:rsidP="00883A86">
            <w:pPr>
              <w:numPr>
                <w:ilvl w:val="0"/>
                <w:numId w:val="9"/>
              </w:numPr>
              <w:tabs>
                <w:tab w:val="clear" w:pos="360"/>
                <w:tab w:val="num" w:pos="720"/>
              </w:tabs>
              <w:ind w:left="720"/>
              <w:rPr>
                <w:rFonts w:ascii="Arial" w:hAnsi="Arial" w:cs="Arial"/>
                <w:bCs/>
                <w:sz w:val="20"/>
                <w:szCs w:val="20"/>
              </w:rPr>
            </w:pPr>
            <w:r w:rsidRPr="00883A86">
              <w:rPr>
                <w:rFonts w:ascii="Arial" w:hAnsi="Arial" w:cs="Arial"/>
                <w:bCs/>
                <w:sz w:val="20"/>
                <w:szCs w:val="20"/>
              </w:rPr>
              <w:t>Explosion</w:t>
            </w:r>
          </w:p>
          <w:p w14:paraId="71F7480D" w14:textId="77777777" w:rsidR="00883A86" w:rsidRPr="00883A86" w:rsidRDefault="00883A86" w:rsidP="00883A86">
            <w:pPr>
              <w:numPr>
                <w:ilvl w:val="0"/>
                <w:numId w:val="9"/>
              </w:numPr>
              <w:tabs>
                <w:tab w:val="clear" w:pos="360"/>
                <w:tab w:val="num" w:pos="720"/>
              </w:tabs>
              <w:ind w:left="720"/>
              <w:rPr>
                <w:rFonts w:ascii="Arial" w:hAnsi="Arial" w:cs="Arial"/>
                <w:bCs/>
                <w:sz w:val="20"/>
                <w:szCs w:val="20"/>
              </w:rPr>
            </w:pPr>
            <w:r w:rsidRPr="00883A86">
              <w:rPr>
                <w:rFonts w:ascii="Arial" w:hAnsi="Arial" w:cs="Arial"/>
                <w:bCs/>
                <w:sz w:val="20"/>
                <w:szCs w:val="20"/>
              </w:rPr>
              <w:t>Fire</w:t>
            </w:r>
          </w:p>
          <w:p w14:paraId="36941528" w14:textId="77777777" w:rsidR="00883A86" w:rsidRPr="00883A86" w:rsidRDefault="00883A86" w:rsidP="00883A86">
            <w:pPr>
              <w:numPr>
                <w:ilvl w:val="0"/>
                <w:numId w:val="9"/>
              </w:numPr>
              <w:tabs>
                <w:tab w:val="clear" w:pos="360"/>
                <w:tab w:val="num" w:pos="720"/>
              </w:tabs>
              <w:ind w:left="720"/>
              <w:rPr>
                <w:rFonts w:ascii="Arial" w:hAnsi="Arial" w:cs="Arial"/>
                <w:bCs/>
                <w:sz w:val="20"/>
                <w:szCs w:val="20"/>
              </w:rPr>
            </w:pPr>
            <w:r w:rsidRPr="00883A86">
              <w:rPr>
                <w:rFonts w:ascii="Arial" w:hAnsi="Arial" w:cs="Arial"/>
                <w:bCs/>
                <w:sz w:val="20"/>
                <w:szCs w:val="20"/>
              </w:rPr>
              <w:t>Cold Burns</w:t>
            </w:r>
          </w:p>
          <w:p w14:paraId="14614B5A" w14:textId="3CB111D4" w:rsidR="006C6952" w:rsidRPr="001341B1" w:rsidRDefault="006C6952" w:rsidP="00887ACB">
            <w:pPr>
              <w:rPr>
                <w:rFonts w:ascii="Arial" w:hAnsi="Arial" w:cs="Arial"/>
                <w:sz w:val="20"/>
                <w:szCs w:val="20"/>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167DCD" w:rsidRPr="008C0514" w14:paraId="2B63BA22" w14:textId="77777777" w:rsidTr="009B5A3A">
        <w:trPr>
          <w:trHeight w:val="627"/>
        </w:trPr>
        <w:tc>
          <w:tcPr>
            <w:tcW w:w="9242" w:type="dxa"/>
            <w:gridSpan w:val="5"/>
          </w:tcPr>
          <w:p w14:paraId="3C1FB804" w14:textId="77777777" w:rsidR="00167DCD" w:rsidRPr="00A20C61" w:rsidRDefault="00167DCD" w:rsidP="00167DCD">
            <w:pPr>
              <w:rPr>
                <w:rFonts w:ascii="Arial" w:hAnsi="Arial" w:cs="Arial"/>
                <w:bCs/>
                <w:sz w:val="21"/>
                <w:szCs w:val="21"/>
              </w:rPr>
            </w:pPr>
          </w:p>
          <w:p w14:paraId="0FCC2CE0" w14:textId="7B161AF4"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 xml:space="preserve">Medical gases only to be handled by trained staff following training with certified trainer </w:t>
            </w:r>
            <w:proofErr w:type="gramStart"/>
            <w:r w:rsidRPr="004770C1">
              <w:rPr>
                <w:rFonts w:ascii="Arial" w:hAnsi="Arial" w:cs="Arial"/>
                <w:sz w:val="20"/>
                <w:szCs w:val="20"/>
              </w:rPr>
              <w:t>( BOC</w:t>
            </w:r>
            <w:proofErr w:type="gramEnd"/>
            <w:r w:rsidRPr="004770C1">
              <w:rPr>
                <w:rFonts w:ascii="Arial" w:hAnsi="Arial" w:cs="Arial"/>
                <w:sz w:val="20"/>
                <w:szCs w:val="20"/>
              </w:rPr>
              <w:t xml:space="preserve"> or equivalent )</w:t>
            </w:r>
          </w:p>
          <w:p w14:paraId="26E23AC9" w14:textId="73E19DB0"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 xml:space="preserve">Safety shoes with </w:t>
            </w:r>
            <w:r w:rsidR="004770C1" w:rsidRPr="004770C1">
              <w:rPr>
                <w:rFonts w:ascii="Arial" w:hAnsi="Arial" w:cs="Arial"/>
                <w:sz w:val="20"/>
                <w:szCs w:val="20"/>
              </w:rPr>
              <w:t>toe protection</w:t>
            </w:r>
            <w:r w:rsidRPr="004770C1">
              <w:rPr>
                <w:rFonts w:ascii="Arial" w:hAnsi="Arial" w:cs="Arial"/>
                <w:sz w:val="20"/>
                <w:szCs w:val="20"/>
              </w:rPr>
              <w:t xml:space="preserve"> to be provided and worn by all staff that handle medical gas cylinders as a significant part of their work duties</w:t>
            </w:r>
          </w:p>
          <w:p w14:paraId="4FF5E758"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Follow supplier/manufacturer instructions where these are available</w:t>
            </w:r>
          </w:p>
          <w:p w14:paraId="27B8E8E5"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 xml:space="preserve">Stored cylinders to be harnessed in an upright position or on suitable cylinder racks or laid flat and chocked to prevent movement within designated storage locations </w:t>
            </w:r>
          </w:p>
          <w:p w14:paraId="7BCB6F6E" w14:textId="77777777" w:rsidR="00116C56" w:rsidRPr="004770C1" w:rsidRDefault="00116C56" w:rsidP="00923963">
            <w:pPr>
              <w:numPr>
                <w:ilvl w:val="0"/>
                <w:numId w:val="10"/>
              </w:numPr>
              <w:rPr>
                <w:rFonts w:ascii="Arial" w:hAnsi="Arial" w:cs="Arial"/>
                <w:sz w:val="20"/>
                <w:szCs w:val="20"/>
              </w:rPr>
            </w:pPr>
            <w:r w:rsidRPr="004770C1">
              <w:rPr>
                <w:rFonts w:ascii="Arial" w:hAnsi="Arial" w:cs="Arial"/>
                <w:sz w:val="20"/>
                <w:szCs w:val="20"/>
              </w:rPr>
              <w:t xml:space="preserve">Full and empty cylinders to be stored separately and the segregation clearly identifiable. </w:t>
            </w:r>
          </w:p>
          <w:p w14:paraId="467ED1C9"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 xml:space="preserve">Designated storage areas to be provided with good ventilation at both high and low level. </w:t>
            </w:r>
          </w:p>
          <w:p w14:paraId="0A42EB8F"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Where appropriate, an audible or visual alarm together with appropriate warning signage should be fitted in storage area to warn of low oxygen levels below 20% in the event of gases leaking into the atmosphere.</w:t>
            </w:r>
          </w:p>
          <w:p w14:paraId="445370C4"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Storage locations to be kept locked and warning signs displayed both inside and outside prohibiting smoking and naked flames</w:t>
            </w:r>
          </w:p>
          <w:p w14:paraId="5019E24C"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Where appropriate, suitable cylinder trolleys to be used to transport cylinders, fixing the cylinder onto the trolley using the restraints provided. Trolleys to be visually inspected before use and any that are damaged or have defective/missing safety restraints to be removed from use until properly repaired by a competent person</w:t>
            </w:r>
          </w:p>
          <w:p w14:paraId="0C0B6850" w14:textId="77777777"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When delivered to the delivery destination, the cylinder should either remain in its trolley with the restraints in place or transferred to a strapped storage location</w:t>
            </w:r>
          </w:p>
          <w:p w14:paraId="2CAD6B5A" w14:textId="2E7CF429" w:rsidR="00116C56" w:rsidRPr="004770C1" w:rsidRDefault="00116C56" w:rsidP="00923963">
            <w:pPr>
              <w:numPr>
                <w:ilvl w:val="0"/>
                <w:numId w:val="10"/>
              </w:numPr>
              <w:tabs>
                <w:tab w:val="clear" w:pos="360"/>
              </w:tabs>
              <w:rPr>
                <w:rFonts w:ascii="Arial" w:hAnsi="Arial" w:cs="Arial"/>
                <w:sz w:val="20"/>
                <w:szCs w:val="20"/>
              </w:rPr>
            </w:pPr>
            <w:r w:rsidRPr="004770C1">
              <w:rPr>
                <w:rFonts w:ascii="Arial" w:hAnsi="Arial" w:cs="Arial"/>
                <w:sz w:val="20"/>
                <w:szCs w:val="20"/>
              </w:rPr>
              <w:t xml:space="preserve">Implement </w:t>
            </w:r>
            <w:r w:rsidR="004770C1" w:rsidRPr="004770C1">
              <w:rPr>
                <w:rFonts w:ascii="Arial" w:hAnsi="Arial" w:cs="Arial"/>
                <w:sz w:val="20"/>
                <w:szCs w:val="20"/>
              </w:rPr>
              <w:t>safety checks via safety walk and storage check sheet.</w:t>
            </w:r>
          </w:p>
          <w:p w14:paraId="13FC2E92" w14:textId="77777777" w:rsidR="00116C56" w:rsidRDefault="00116C56" w:rsidP="00116C56">
            <w:pPr>
              <w:rPr>
                <w:rFonts w:ascii="Arial" w:hAnsi="Arial" w:cs="Arial"/>
              </w:rPr>
            </w:pPr>
            <w:bookmarkStart w:id="0" w:name="_GoBack"/>
            <w:bookmarkEnd w:id="0"/>
          </w:p>
          <w:p w14:paraId="75E8E56B" w14:textId="77777777" w:rsidR="00923963" w:rsidRPr="00923963" w:rsidRDefault="00923963" w:rsidP="00923963">
            <w:pPr>
              <w:rPr>
                <w:rFonts w:ascii="Arial" w:hAnsi="Arial" w:cs="Arial"/>
                <w:sz w:val="20"/>
                <w:szCs w:val="20"/>
              </w:rPr>
            </w:pPr>
            <w:r w:rsidRPr="00923963">
              <w:rPr>
                <w:rFonts w:ascii="Arial" w:hAnsi="Arial" w:cs="Arial"/>
                <w:sz w:val="20"/>
                <w:szCs w:val="20"/>
              </w:rPr>
              <w:t>Where it is a site requirement to fit cylinders to manifolds, regulators or flow meters, the</w:t>
            </w:r>
          </w:p>
          <w:p w14:paraId="02B640F9" w14:textId="77777777" w:rsidR="00923963" w:rsidRPr="00923963" w:rsidRDefault="00923963" w:rsidP="00923963">
            <w:pPr>
              <w:rPr>
                <w:rFonts w:ascii="Arial" w:hAnsi="Arial" w:cs="Arial"/>
                <w:sz w:val="20"/>
                <w:szCs w:val="20"/>
              </w:rPr>
            </w:pPr>
            <w:r w:rsidRPr="00923963">
              <w:rPr>
                <w:rFonts w:ascii="Arial" w:hAnsi="Arial" w:cs="Arial"/>
                <w:sz w:val="20"/>
                <w:szCs w:val="20"/>
              </w:rPr>
              <w:t>following additional control measures must be observed:</w:t>
            </w:r>
          </w:p>
          <w:p w14:paraId="24E730C1" w14:textId="77777777" w:rsidR="00923963" w:rsidRPr="00923963" w:rsidRDefault="00923963" w:rsidP="00923963">
            <w:pPr>
              <w:rPr>
                <w:rFonts w:ascii="Arial" w:hAnsi="Arial" w:cs="Arial"/>
                <w:sz w:val="20"/>
                <w:szCs w:val="20"/>
              </w:rPr>
            </w:pPr>
          </w:p>
          <w:p w14:paraId="54461A9B" w14:textId="77777777" w:rsidR="00923963" w:rsidRPr="00923963" w:rsidRDefault="00923963" w:rsidP="00923963">
            <w:pPr>
              <w:numPr>
                <w:ilvl w:val="0"/>
                <w:numId w:val="10"/>
              </w:numPr>
              <w:tabs>
                <w:tab w:val="clear" w:pos="360"/>
              </w:tabs>
              <w:rPr>
                <w:rFonts w:ascii="Arial" w:hAnsi="Arial" w:cs="Arial"/>
                <w:sz w:val="20"/>
                <w:szCs w:val="20"/>
              </w:rPr>
            </w:pPr>
            <w:r w:rsidRPr="00923963">
              <w:rPr>
                <w:rFonts w:ascii="Arial" w:hAnsi="Arial" w:cs="Arial"/>
                <w:sz w:val="20"/>
                <w:szCs w:val="20"/>
              </w:rPr>
              <w:t>Cylinders should be used in date order, ensuring that they are in date</w:t>
            </w:r>
          </w:p>
          <w:p w14:paraId="20778986" w14:textId="77777777" w:rsidR="00923963" w:rsidRPr="00923963" w:rsidRDefault="00923963" w:rsidP="00923963">
            <w:pPr>
              <w:numPr>
                <w:ilvl w:val="0"/>
                <w:numId w:val="10"/>
              </w:numPr>
              <w:tabs>
                <w:tab w:val="clear" w:pos="360"/>
              </w:tabs>
              <w:rPr>
                <w:rFonts w:ascii="Arial" w:hAnsi="Arial" w:cs="Arial"/>
                <w:sz w:val="20"/>
                <w:szCs w:val="20"/>
              </w:rPr>
            </w:pPr>
            <w:r w:rsidRPr="00923963">
              <w:rPr>
                <w:rFonts w:ascii="Arial" w:hAnsi="Arial" w:cs="Arial"/>
                <w:sz w:val="20"/>
                <w:szCs w:val="20"/>
              </w:rPr>
              <w:t>Only the correct regulator must be used for each gas cylinder i.e. do not use an air regulator with an oxygen cylinder.</w:t>
            </w:r>
          </w:p>
          <w:p w14:paraId="24E38BA9" w14:textId="77777777" w:rsidR="00923963" w:rsidRPr="00923963" w:rsidRDefault="00923963" w:rsidP="00923963">
            <w:pPr>
              <w:numPr>
                <w:ilvl w:val="0"/>
                <w:numId w:val="10"/>
              </w:numPr>
              <w:tabs>
                <w:tab w:val="clear" w:pos="360"/>
              </w:tabs>
              <w:rPr>
                <w:rFonts w:ascii="Arial" w:hAnsi="Arial" w:cs="Arial"/>
                <w:sz w:val="20"/>
                <w:szCs w:val="20"/>
              </w:rPr>
            </w:pPr>
            <w:r w:rsidRPr="00923963">
              <w:rPr>
                <w:rFonts w:ascii="Arial" w:hAnsi="Arial" w:cs="Arial"/>
                <w:sz w:val="20"/>
                <w:szCs w:val="20"/>
              </w:rPr>
              <w:t>Regulators and hoses to be checked for condition and leaks at each cylinder change</w:t>
            </w:r>
          </w:p>
          <w:p w14:paraId="48718BCA" w14:textId="77777777" w:rsidR="00923963" w:rsidRPr="00923963" w:rsidRDefault="00923963" w:rsidP="00923963">
            <w:pPr>
              <w:numPr>
                <w:ilvl w:val="0"/>
                <w:numId w:val="10"/>
              </w:numPr>
              <w:tabs>
                <w:tab w:val="clear" w:pos="360"/>
              </w:tabs>
              <w:rPr>
                <w:rFonts w:ascii="Arial" w:hAnsi="Arial" w:cs="Arial"/>
                <w:sz w:val="20"/>
                <w:szCs w:val="20"/>
              </w:rPr>
            </w:pPr>
            <w:r w:rsidRPr="00923963">
              <w:rPr>
                <w:rFonts w:ascii="Arial" w:hAnsi="Arial" w:cs="Arial"/>
                <w:sz w:val="20"/>
                <w:szCs w:val="20"/>
              </w:rPr>
              <w:t>Any cylinder that shows signs of leakage (frosting around the valve or cylinder, or a “hissing sound”) should be isolated and the manager informed.</w:t>
            </w:r>
          </w:p>
          <w:p w14:paraId="470CA377" w14:textId="77777777" w:rsidR="00923963" w:rsidRPr="00293FE7" w:rsidRDefault="00923963" w:rsidP="00923963">
            <w:pPr>
              <w:numPr>
                <w:ilvl w:val="0"/>
                <w:numId w:val="10"/>
              </w:numPr>
              <w:tabs>
                <w:tab w:val="clear" w:pos="360"/>
              </w:tabs>
              <w:rPr>
                <w:rFonts w:ascii="Arial" w:hAnsi="Arial" w:cs="Arial"/>
              </w:rPr>
            </w:pPr>
            <w:r w:rsidRPr="00293FE7">
              <w:rPr>
                <w:rFonts w:ascii="Arial" w:hAnsi="Arial" w:cs="Arial"/>
              </w:rPr>
              <w:lastRenderedPageBreak/>
              <w:t>Only approved leak detection fluid must be used</w:t>
            </w:r>
          </w:p>
          <w:p w14:paraId="4054D0F9" w14:textId="77777777" w:rsidR="00923963" w:rsidRPr="00293FE7" w:rsidRDefault="00923963" w:rsidP="00923963">
            <w:pPr>
              <w:numPr>
                <w:ilvl w:val="0"/>
                <w:numId w:val="10"/>
              </w:numPr>
              <w:tabs>
                <w:tab w:val="clear" w:pos="360"/>
              </w:tabs>
              <w:rPr>
                <w:rFonts w:ascii="Arial" w:hAnsi="Arial" w:cs="Arial"/>
                <w:color w:val="000000"/>
              </w:rPr>
            </w:pPr>
            <w:r w:rsidRPr="00293FE7">
              <w:rPr>
                <w:rFonts w:ascii="Arial" w:hAnsi="Arial" w:cs="Arial"/>
                <w:color w:val="000000"/>
              </w:rPr>
              <w:t>Check that the seal is intact before removing.</w:t>
            </w:r>
          </w:p>
          <w:p w14:paraId="10E1C8E9" w14:textId="77777777" w:rsidR="00923963" w:rsidRPr="00293FE7" w:rsidRDefault="00923963" w:rsidP="00923963">
            <w:pPr>
              <w:numPr>
                <w:ilvl w:val="0"/>
                <w:numId w:val="10"/>
              </w:numPr>
              <w:tabs>
                <w:tab w:val="clear" w:pos="360"/>
              </w:tabs>
              <w:rPr>
                <w:rFonts w:ascii="Arial" w:hAnsi="Arial" w:cs="Arial"/>
                <w:color w:val="000000"/>
              </w:rPr>
            </w:pPr>
            <w:r w:rsidRPr="00293FE7">
              <w:rPr>
                <w:rFonts w:ascii="Arial" w:hAnsi="Arial" w:cs="Arial"/>
                <w:color w:val="000000"/>
              </w:rPr>
              <w:t>Check for oil and grease or dirt in the valve. If any is present, the cylinder should not be used and reported to the manager for return</w:t>
            </w:r>
          </w:p>
          <w:p w14:paraId="40E54E10" w14:textId="77777777" w:rsidR="00923963" w:rsidRPr="00293FE7" w:rsidRDefault="00923963" w:rsidP="00923963">
            <w:pPr>
              <w:numPr>
                <w:ilvl w:val="0"/>
                <w:numId w:val="10"/>
              </w:numPr>
              <w:tabs>
                <w:tab w:val="clear" w:pos="360"/>
              </w:tabs>
              <w:rPr>
                <w:rFonts w:ascii="Arial" w:hAnsi="Arial" w:cs="Arial"/>
                <w:color w:val="000000"/>
              </w:rPr>
            </w:pPr>
            <w:r w:rsidRPr="00293FE7">
              <w:rPr>
                <w:rFonts w:ascii="Arial" w:hAnsi="Arial" w:cs="Arial"/>
                <w:color w:val="000000"/>
              </w:rPr>
              <w:t>Check for oil and grease or dirt in the manifold, yoke and regulator. If any is present, do not fit but report to the manager for servicing. Check the “O” ring and if necessary, replace it</w:t>
            </w:r>
          </w:p>
          <w:p w14:paraId="37F0973A" w14:textId="77777777" w:rsidR="00923963" w:rsidRPr="00293FE7" w:rsidRDefault="00923963" w:rsidP="00923963">
            <w:pPr>
              <w:numPr>
                <w:ilvl w:val="0"/>
                <w:numId w:val="10"/>
              </w:numPr>
              <w:tabs>
                <w:tab w:val="clear" w:pos="360"/>
              </w:tabs>
              <w:rPr>
                <w:rFonts w:ascii="Arial" w:hAnsi="Arial" w:cs="Arial"/>
                <w:color w:val="000000"/>
              </w:rPr>
            </w:pPr>
            <w:r w:rsidRPr="00293FE7">
              <w:rPr>
                <w:rFonts w:ascii="Arial" w:hAnsi="Arial" w:cs="Arial"/>
                <w:color w:val="000000"/>
              </w:rPr>
              <w:t>Fit the regulator, manifold or yoke to the cylinder using reasonable force. Do not use excessive force as this may damage the valve outlet threads</w:t>
            </w:r>
          </w:p>
          <w:p w14:paraId="29AB4ADD" w14:textId="7A8C8C95" w:rsidR="00167DCD" w:rsidRPr="00063E85" w:rsidRDefault="00923963" w:rsidP="00923963">
            <w:pPr>
              <w:numPr>
                <w:ilvl w:val="0"/>
                <w:numId w:val="10"/>
              </w:numPr>
              <w:tabs>
                <w:tab w:val="clear" w:pos="360"/>
              </w:tabs>
              <w:rPr>
                <w:rFonts w:ascii="Arial" w:hAnsi="Arial" w:cs="Arial"/>
                <w:b/>
              </w:rPr>
            </w:pPr>
            <w:r w:rsidRPr="00293FE7">
              <w:rPr>
                <w:rFonts w:ascii="Arial" w:hAnsi="Arial" w:cs="Arial"/>
                <w:color w:val="000000"/>
              </w:rPr>
              <w:t>Open the cylinder valve slowly with a standard valve key, check for leaks, close the valve leaving the key in place</w:t>
            </w:r>
            <w:r>
              <w:rPr>
                <w:rFonts w:ascii="Arial" w:hAnsi="Arial" w:cs="Arial"/>
                <w:color w:val="000000"/>
              </w:rPr>
              <w:t>.</w:t>
            </w: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9A5AA9">
        <w:trPr>
          <w:trHeight w:val="936"/>
        </w:trPr>
        <w:tc>
          <w:tcPr>
            <w:tcW w:w="9242" w:type="dxa"/>
            <w:gridSpan w:val="5"/>
            <w:vAlign w:val="center"/>
          </w:tcPr>
          <w:p w14:paraId="745BFA92" w14:textId="3F413D1B" w:rsidR="00233904" w:rsidRDefault="00233904" w:rsidP="00233904">
            <w:pPr>
              <w:spacing w:after="120"/>
              <w:rPr>
                <w:rFonts w:ascii="Arial" w:hAnsi="Arial" w:cs="Arial"/>
                <w:sz w:val="18"/>
              </w:rPr>
            </w:pPr>
          </w:p>
          <w:p w14:paraId="44D211DF" w14:textId="4A04626A" w:rsidR="00326377" w:rsidRDefault="00326377" w:rsidP="00233904">
            <w:pPr>
              <w:spacing w:after="120"/>
              <w:rPr>
                <w:rFonts w:ascii="Arial" w:hAnsi="Arial" w:cs="Arial"/>
                <w:sz w:val="18"/>
              </w:rPr>
            </w:pPr>
          </w:p>
          <w:p w14:paraId="25406483" w14:textId="325CAD90" w:rsidR="00326377" w:rsidRDefault="00326377" w:rsidP="00233904">
            <w:pPr>
              <w:spacing w:after="120"/>
              <w:rPr>
                <w:rFonts w:ascii="Arial" w:hAnsi="Arial" w:cs="Arial"/>
                <w:sz w:val="18"/>
              </w:rPr>
            </w:pPr>
          </w:p>
          <w:p w14:paraId="287B3B17" w14:textId="77777777" w:rsidR="00326377" w:rsidRDefault="00326377" w:rsidP="00233904">
            <w:pPr>
              <w:spacing w:after="120"/>
              <w:rPr>
                <w:rFonts w:ascii="Arial" w:hAnsi="Arial" w:cs="Arial"/>
                <w:sz w:val="18"/>
              </w:rPr>
            </w:pPr>
          </w:p>
          <w:p w14:paraId="6C2817C1" w14:textId="77777777" w:rsidR="00233904" w:rsidRDefault="00233904" w:rsidP="00233904">
            <w:pPr>
              <w:spacing w:after="120"/>
              <w:rPr>
                <w:rFonts w:ascii="Arial" w:hAnsi="Arial" w:cs="Arial"/>
                <w:sz w:val="18"/>
              </w:rPr>
            </w:pPr>
          </w:p>
          <w:p w14:paraId="5E5A5F0A" w14:textId="07A8A755" w:rsidR="00233904" w:rsidRPr="00233904" w:rsidRDefault="00233904" w:rsidP="00233904">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27717FA4" w:rsidR="003366C9" w:rsidRDefault="003366C9">
      <w:pPr>
        <w:rPr>
          <w:rFonts w:ascii="Arial" w:hAnsi="Arial" w:cs="Arial"/>
        </w:rPr>
      </w:pPr>
    </w:p>
    <w:p w14:paraId="483A8554" w14:textId="0819BDB0" w:rsidR="00923963" w:rsidRDefault="00923963">
      <w:pPr>
        <w:rPr>
          <w:rFonts w:ascii="Arial" w:hAnsi="Arial" w:cs="Arial"/>
        </w:rPr>
      </w:pPr>
    </w:p>
    <w:p w14:paraId="5E8EB811" w14:textId="243847AF" w:rsidR="00923963" w:rsidRDefault="00923963">
      <w:pPr>
        <w:rPr>
          <w:rFonts w:ascii="Arial" w:hAnsi="Arial" w:cs="Arial"/>
        </w:rPr>
      </w:pPr>
    </w:p>
    <w:p w14:paraId="1E22C072" w14:textId="363D8DE9" w:rsidR="00923963" w:rsidRDefault="00923963">
      <w:pPr>
        <w:rPr>
          <w:rFonts w:ascii="Arial" w:hAnsi="Arial" w:cs="Arial"/>
        </w:rPr>
      </w:pPr>
    </w:p>
    <w:p w14:paraId="7279FBD5" w14:textId="4CBF1290" w:rsidR="00923963" w:rsidRDefault="00923963">
      <w:pPr>
        <w:rPr>
          <w:rFonts w:ascii="Arial" w:hAnsi="Arial" w:cs="Arial"/>
        </w:rPr>
      </w:pPr>
    </w:p>
    <w:p w14:paraId="593805A3" w14:textId="553D2A8F" w:rsidR="00923963" w:rsidRDefault="00923963">
      <w:pPr>
        <w:rPr>
          <w:rFonts w:ascii="Arial" w:hAnsi="Arial" w:cs="Arial"/>
        </w:rPr>
      </w:pPr>
    </w:p>
    <w:p w14:paraId="2696A2D1" w14:textId="7BF0F0DB" w:rsidR="00923963" w:rsidRDefault="00923963">
      <w:pPr>
        <w:rPr>
          <w:rFonts w:ascii="Arial" w:hAnsi="Arial" w:cs="Arial"/>
        </w:rPr>
      </w:pPr>
    </w:p>
    <w:p w14:paraId="655505F4" w14:textId="09D26059" w:rsidR="00923963" w:rsidRDefault="00923963">
      <w:pPr>
        <w:rPr>
          <w:rFonts w:ascii="Arial" w:hAnsi="Arial" w:cs="Arial"/>
        </w:rPr>
      </w:pPr>
    </w:p>
    <w:p w14:paraId="66C6EFBA" w14:textId="78E791A7" w:rsidR="00923963" w:rsidRDefault="00923963">
      <w:pPr>
        <w:rPr>
          <w:rFonts w:ascii="Arial" w:hAnsi="Arial" w:cs="Arial"/>
        </w:rPr>
      </w:pPr>
    </w:p>
    <w:p w14:paraId="66CBA0C3" w14:textId="2CE344AA" w:rsidR="00923963" w:rsidRDefault="00923963">
      <w:pPr>
        <w:rPr>
          <w:rFonts w:ascii="Arial" w:hAnsi="Arial" w:cs="Arial"/>
        </w:rPr>
      </w:pPr>
    </w:p>
    <w:p w14:paraId="25CDEFD9" w14:textId="6877133F" w:rsidR="00923963" w:rsidRDefault="00923963">
      <w:pPr>
        <w:rPr>
          <w:rFonts w:ascii="Arial" w:hAnsi="Arial" w:cs="Arial"/>
        </w:rPr>
      </w:pPr>
    </w:p>
    <w:p w14:paraId="3B2A59AA" w14:textId="77777777" w:rsidR="00923963" w:rsidRDefault="00923963">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2273BD5A" w:rsidR="005824DF" w:rsidRPr="00437F40" w:rsidRDefault="009A5AA9" w:rsidP="007E6D03">
            <w:pPr>
              <w:spacing w:after="120"/>
              <w:jc w:val="center"/>
              <w:rPr>
                <w:rFonts w:ascii="Arial" w:hAnsi="Arial" w:cs="Arial"/>
                <w:b/>
              </w:rPr>
            </w:pPr>
            <w:r>
              <w:rPr>
                <w:rFonts w:ascii="Arial" w:hAnsi="Arial" w:cs="Arial"/>
                <w:b/>
                <w:sz w:val="28"/>
              </w:rPr>
              <w:t>POR 0</w:t>
            </w:r>
            <w:r w:rsidR="00923963">
              <w:rPr>
                <w:rFonts w:ascii="Arial" w:hAnsi="Arial" w:cs="Arial"/>
                <w:b/>
                <w:sz w:val="28"/>
              </w:rPr>
              <w:t>4</w:t>
            </w:r>
          </w:p>
        </w:tc>
        <w:tc>
          <w:tcPr>
            <w:tcW w:w="7829" w:type="dxa"/>
            <w:gridSpan w:val="3"/>
            <w:tcBorders>
              <w:top w:val="nil"/>
              <w:left w:val="nil"/>
            </w:tcBorders>
            <w:vAlign w:val="center"/>
          </w:tcPr>
          <w:p w14:paraId="31BF3C51" w14:textId="711400D9" w:rsidR="005824DF" w:rsidRPr="008C0514" w:rsidRDefault="00923963" w:rsidP="007E6D03">
            <w:pPr>
              <w:spacing w:after="120"/>
              <w:jc w:val="center"/>
              <w:rPr>
                <w:rFonts w:ascii="Arial" w:hAnsi="Arial" w:cs="Arial"/>
                <w:b/>
                <w:sz w:val="28"/>
              </w:rPr>
            </w:pPr>
            <w:r>
              <w:rPr>
                <w:rFonts w:ascii="Arial" w:hAnsi="Arial" w:cs="Arial"/>
                <w:b/>
                <w:sz w:val="28"/>
              </w:rPr>
              <w:t>Medical gases</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6C3B" w14:textId="77777777" w:rsidR="003B07DA" w:rsidRDefault="003B07DA" w:rsidP="00252A88">
      <w:pPr>
        <w:spacing w:after="0" w:line="240" w:lineRule="auto"/>
      </w:pPr>
      <w:r>
        <w:separator/>
      </w:r>
    </w:p>
  </w:endnote>
  <w:endnote w:type="continuationSeparator" w:id="0">
    <w:p w14:paraId="68A8D314" w14:textId="77777777" w:rsidR="003B07DA" w:rsidRDefault="003B07DA"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071C4EE" w:rsidR="00544230" w:rsidRPr="009A3DC5" w:rsidRDefault="00D83150" w:rsidP="00544230">
          <w:pPr>
            <w:spacing w:after="0" w:line="240" w:lineRule="auto"/>
            <w:rPr>
              <w:sz w:val="16"/>
            </w:rPr>
          </w:pPr>
          <w:r>
            <w:rPr>
              <w:b/>
              <w:bCs/>
              <w:sz w:val="16"/>
            </w:rPr>
            <w:t>POR 0</w:t>
          </w:r>
          <w:r w:rsidR="00923963">
            <w:rPr>
              <w:b/>
              <w:bCs/>
              <w:sz w:val="16"/>
            </w:rPr>
            <w:t>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428DEC5"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POR 0</w:t>
          </w:r>
          <w:r w:rsidR="00923963">
            <w:rPr>
              <w:b/>
              <w:bCs/>
              <w:sz w:val="16"/>
            </w:rPr>
            <w:t>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2B71097E" w:rsidR="00544230" w:rsidRPr="00F223F1" w:rsidRDefault="00F223F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0DB23D4" w:rsidR="00544230" w:rsidRPr="007475AE" w:rsidRDefault="00F223F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2238D" w14:textId="77777777" w:rsidR="003B07DA" w:rsidRDefault="003B07DA" w:rsidP="00252A88">
      <w:pPr>
        <w:spacing w:after="0" w:line="240" w:lineRule="auto"/>
      </w:pPr>
      <w:r>
        <w:separator/>
      </w:r>
    </w:p>
  </w:footnote>
  <w:footnote w:type="continuationSeparator" w:id="0">
    <w:p w14:paraId="5FBD290A" w14:textId="77777777" w:rsidR="003B07DA" w:rsidRDefault="003B07DA"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4C9"/>
    <w:multiLevelType w:val="hybridMultilevel"/>
    <w:tmpl w:val="1548B6DE"/>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65395A"/>
    <w:multiLevelType w:val="hybridMultilevel"/>
    <w:tmpl w:val="8AA8F36C"/>
    <w:lvl w:ilvl="0" w:tplc="019ABC3A">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215B89"/>
    <w:multiLevelType w:val="hybridMultilevel"/>
    <w:tmpl w:val="A0CAD826"/>
    <w:lvl w:ilvl="0" w:tplc="F56A835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42D945ED"/>
    <w:multiLevelType w:val="hybridMultilevel"/>
    <w:tmpl w:val="8AA8F36C"/>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A157FD"/>
    <w:multiLevelType w:val="hybridMultilevel"/>
    <w:tmpl w:val="C078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34AE7"/>
    <w:multiLevelType w:val="hybridMultilevel"/>
    <w:tmpl w:val="7E2037FE"/>
    <w:lvl w:ilvl="0" w:tplc="F56A835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9108AD"/>
    <w:multiLevelType w:val="hybridMultilevel"/>
    <w:tmpl w:val="0F7082FA"/>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4"/>
  </w:num>
  <w:num w:numId="6">
    <w:abstractNumId w:val="0"/>
  </w:num>
  <w:num w:numId="7">
    <w:abstractNumId w:val="6"/>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11414"/>
    <w:rsid w:val="0002518F"/>
    <w:rsid w:val="000447ED"/>
    <w:rsid w:val="00057CF5"/>
    <w:rsid w:val="00063E85"/>
    <w:rsid w:val="00077470"/>
    <w:rsid w:val="000838DA"/>
    <w:rsid w:val="00094CB9"/>
    <w:rsid w:val="000B660B"/>
    <w:rsid w:val="000B72E9"/>
    <w:rsid w:val="000D5060"/>
    <w:rsid w:val="00116C56"/>
    <w:rsid w:val="001341B1"/>
    <w:rsid w:val="0014152C"/>
    <w:rsid w:val="00166D61"/>
    <w:rsid w:val="00167DCD"/>
    <w:rsid w:val="00172159"/>
    <w:rsid w:val="0018605A"/>
    <w:rsid w:val="002331FB"/>
    <w:rsid w:val="00233904"/>
    <w:rsid w:val="00234187"/>
    <w:rsid w:val="00252A88"/>
    <w:rsid w:val="002561E3"/>
    <w:rsid w:val="002A1B38"/>
    <w:rsid w:val="002B0C17"/>
    <w:rsid w:val="002B2FF0"/>
    <w:rsid w:val="003255C4"/>
    <w:rsid w:val="00326377"/>
    <w:rsid w:val="00327BB8"/>
    <w:rsid w:val="003366C9"/>
    <w:rsid w:val="003945A0"/>
    <w:rsid w:val="003B07DA"/>
    <w:rsid w:val="003C285E"/>
    <w:rsid w:val="003C2AAD"/>
    <w:rsid w:val="003D3944"/>
    <w:rsid w:val="004003E4"/>
    <w:rsid w:val="004126DB"/>
    <w:rsid w:val="004236EA"/>
    <w:rsid w:val="00437F40"/>
    <w:rsid w:val="00455BF4"/>
    <w:rsid w:val="004565FD"/>
    <w:rsid w:val="004770C1"/>
    <w:rsid w:val="00481246"/>
    <w:rsid w:val="004B7313"/>
    <w:rsid w:val="00544230"/>
    <w:rsid w:val="00553841"/>
    <w:rsid w:val="0056421B"/>
    <w:rsid w:val="00582162"/>
    <w:rsid w:val="005824DF"/>
    <w:rsid w:val="00587103"/>
    <w:rsid w:val="005A5473"/>
    <w:rsid w:val="005B7B6E"/>
    <w:rsid w:val="005C0273"/>
    <w:rsid w:val="005E5463"/>
    <w:rsid w:val="005F0187"/>
    <w:rsid w:val="00645BB1"/>
    <w:rsid w:val="00654754"/>
    <w:rsid w:val="00674043"/>
    <w:rsid w:val="006B2AED"/>
    <w:rsid w:val="006C6952"/>
    <w:rsid w:val="006E6143"/>
    <w:rsid w:val="00715EDD"/>
    <w:rsid w:val="007226AB"/>
    <w:rsid w:val="007475AE"/>
    <w:rsid w:val="00747B08"/>
    <w:rsid w:val="00747FA0"/>
    <w:rsid w:val="007513B8"/>
    <w:rsid w:val="00765033"/>
    <w:rsid w:val="00786787"/>
    <w:rsid w:val="00796FA4"/>
    <w:rsid w:val="007B5630"/>
    <w:rsid w:val="007C78F5"/>
    <w:rsid w:val="007F0C8F"/>
    <w:rsid w:val="00844807"/>
    <w:rsid w:val="00864E50"/>
    <w:rsid w:val="00883A86"/>
    <w:rsid w:val="00887ACB"/>
    <w:rsid w:val="00891444"/>
    <w:rsid w:val="008A1C26"/>
    <w:rsid w:val="008B7380"/>
    <w:rsid w:val="008C0514"/>
    <w:rsid w:val="008C4FCA"/>
    <w:rsid w:val="008D0C7E"/>
    <w:rsid w:val="008D3590"/>
    <w:rsid w:val="008E446E"/>
    <w:rsid w:val="009142B7"/>
    <w:rsid w:val="00923963"/>
    <w:rsid w:val="00951D67"/>
    <w:rsid w:val="00993275"/>
    <w:rsid w:val="009A5AA9"/>
    <w:rsid w:val="009C389C"/>
    <w:rsid w:val="009C5A3E"/>
    <w:rsid w:val="009E1964"/>
    <w:rsid w:val="009F5D08"/>
    <w:rsid w:val="00A1689A"/>
    <w:rsid w:val="00A564DB"/>
    <w:rsid w:val="00A75E77"/>
    <w:rsid w:val="00A82515"/>
    <w:rsid w:val="00A9338F"/>
    <w:rsid w:val="00AC5B74"/>
    <w:rsid w:val="00AF6101"/>
    <w:rsid w:val="00B06FC0"/>
    <w:rsid w:val="00B45F97"/>
    <w:rsid w:val="00B8777F"/>
    <w:rsid w:val="00BA7A2E"/>
    <w:rsid w:val="00BC79DF"/>
    <w:rsid w:val="00BD2E29"/>
    <w:rsid w:val="00BD38D9"/>
    <w:rsid w:val="00BD4DAE"/>
    <w:rsid w:val="00BD70CD"/>
    <w:rsid w:val="00C07667"/>
    <w:rsid w:val="00C32EB5"/>
    <w:rsid w:val="00C34CD7"/>
    <w:rsid w:val="00C34D1E"/>
    <w:rsid w:val="00C60FEC"/>
    <w:rsid w:val="00CF44B8"/>
    <w:rsid w:val="00D03E7C"/>
    <w:rsid w:val="00D51983"/>
    <w:rsid w:val="00D55456"/>
    <w:rsid w:val="00D83150"/>
    <w:rsid w:val="00D923EB"/>
    <w:rsid w:val="00DA3B30"/>
    <w:rsid w:val="00DC7FC7"/>
    <w:rsid w:val="00DE6AF2"/>
    <w:rsid w:val="00DF04DD"/>
    <w:rsid w:val="00E23F59"/>
    <w:rsid w:val="00E3077D"/>
    <w:rsid w:val="00E4104A"/>
    <w:rsid w:val="00E46B77"/>
    <w:rsid w:val="00E6472F"/>
    <w:rsid w:val="00E83405"/>
    <w:rsid w:val="00EA0553"/>
    <w:rsid w:val="00EA1E1C"/>
    <w:rsid w:val="00EB245D"/>
    <w:rsid w:val="00EB7CB2"/>
    <w:rsid w:val="00EE3DE3"/>
    <w:rsid w:val="00F0473E"/>
    <w:rsid w:val="00F07EE5"/>
    <w:rsid w:val="00F223F1"/>
    <w:rsid w:val="00F30398"/>
    <w:rsid w:val="00F4544E"/>
    <w:rsid w:val="00F81351"/>
    <w:rsid w:val="00FA5043"/>
    <w:rsid w:val="00FB5F35"/>
    <w:rsid w:val="00FC227E"/>
    <w:rsid w:val="00FC71E6"/>
    <w:rsid w:val="00FD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3.xml><?xml version="1.0" encoding="utf-8"?>
<ds:datastoreItem xmlns:ds="http://schemas.openxmlformats.org/officeDocument/2006/customXml" ds:itemID="{DAAF34B5-BBE0-4E3D-B6B5-B60C99B0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2021-09-22T12:40:00Z</dcterms:created>
  <dcterms:modified xsi:type="dcterms:W3CDTF">2021-09-22T12:40:00Z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