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70368A0C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Task Car</w:t>
            </w:r>
            <w:r w:rsidR="009C3C8E">
              <w:rPr>
                <w:rFonts w:ascii="Arial" w:hAnsi="Arial" w:cs="Arial"/>
                <w:b/>
                <w:sz w:val="28"/>
              </w:rPr>
              <w:t>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562C6D83" w:rsidR="00437F40" w:rsidRPr="00437F40" w:rsidRDefault="003945A0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CAT</w:t>
            </w:r>
            <w:r w:rsidR="00C97BB3">
              <w:rPr>
                <w:rFonts w:ascii="Arial" w:hAnsi="Arial" w:cs="Arial"/>
                <w:b/>
                <w:sz w:val="28"/>
              </w:rPr>
              <w:t xml:space="preserve"> 08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5083C808" w14:textId="6441FE3C" w:rsidR="00437F40" w:rsidRPr="008C0514" w:rsidRDefault="003945A0" w:rsidP="00BA7A2E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Cooking (Production of hot food/liquid)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6BB1EE7F" w14:textId="3CC1CF8A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30882D1F" w14:textId="3FB32BF9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</w:tc>
      </w:tr>
      <w:tr w:rsidR="00166D61" w:rsidRPr="008C0514" w14:paraId="739473D0" w14:textId="77777777" w:rsidTr="00166D61">
        <w:tc>
          <w:tcPr>
            <w:tcW w:w="4673" w:type="dxa"/>
            <w:gridSpan w:val="3"/>
            <w:tcBorders>
              <w:top w:val="nil"/>
            </w:tcBorders>
          </w:tcPr>
          <w:p w14:paraId="5D96CF17" w14:textId="77777777" w:rsidR="00166D61" w:rsidRPr="004565FD" w:rsidRDefault="00166D61" w:rsidP="00166D61">
            <w:pPr>
              <w:rPr>
                <w:rFonts w:ascii="Arial" w:hAnsi="Arial" w:cs="Arial"/>
                <w:sz w:val="18"/>
                <w:szCs w:val="17"/>
              </w:rPr>
            </w:pPr>
            <w:r w:rsidRPr="004565FD">
              <w:rPr>
                <w:rFonts w:ascii="Arial" w:hAnsi="Arial" w:cs="Arial"/>
                <w:sz w:val="18"/>
                <w:szCs w:val="17"/>
              </w:rPr>
              <w:t>Contact with hot surfaces and equipment, hot solids, hot liquids and steam.</w:t>
            </w:r>
          </w:p>
          <w:p w14:paraId="209A1AC9" w14:textId="77777777" w:rsidR="00166D61" w:rsidRPr="004565FD" w:rsidRDefault="00166D61" w:rsidP="00166D61">
            <w:pPr>
              <w:rPr>
                <w:rFonts w:ascii="Arial" w:hAnsi="Arial" w:cs="Arial"/>
                <w:sz w:val="18"/>
                <w:szCs w:val="17"/>
              </w:rPr>
            </w:pPr>
            <w:r w:rsidRPr="004565FD">
              <w:rPr>
                <w:rFonts w:ascii="Arial" w:hAnsi="Arial" w:cs="Arial"/>
                <w:sz w:val="18"/>
                <w:szCs w:val="17"/>
              </w:rPr>
              <w:t>Ignition of overheated cooking fat and oil</w:t>
            </w:r>
          </w:p>
          <w:p w14:paraId="19160D4B" w14:textId="07750D27" w:rsidR="00166D61" w:rsidRPr="004565FD" w:rsidRDefault="00166D61" w:rsidP="00166D61">
            <w:pPr>
              <w:rPr>
                <w:rFonts w:ascii="Arial" w:hAnsi="Arial" w:cs="Arial"/>
                <w:sz w:val="18"/>
                <w:szCs w:val="17"/>
              </w:rPr>
            </w:pPr>
            <w:r w:rsidRPr="004565FD">
              <w:rPr>
                <w:rFonts w:ascii="Arial" w:hAnsi="Arial" w:cs="Arial"/>
                <w:sz w:val="18"/>
                <w:szCs w:val="17"/>
              </w:rPr>
              <w:t xml:space="preserve">Spillages of </w:t>
            </w:r>
            <w:r w:rsidR="006C7388">
              <w:rPr>
                <w:rFonts w:ascii="Arial" w:hAnsi="Arial" w:cs="Arial"/>
                <w:sz w:val="18"/>
                <w:szCs w:val="17"/>
              </w:rPr>
              <w:t xml:space="preserve">hot </w:t>
            </w:r>
            <w:r w:rsidRPr="004565FD">
              <w:rPr>
                <w:rFonts w:ascii="Arial" w:hAnsi="Arial" w:cs="Arial"/>
                <w:sz w:val="18"/>
                <w:szCs w:val="17"/>
              </w:rPr>
              <w:t>food and liquid.</w:t>
            </w:r>
          </w:p>
          <w:p w14:paraId="309A0AE5" w14:textId="77777777" w:rsidR="00166D61" w:rsidRPr="004565FD" w:rsidRDefault="00166D61" w:rsidP="00166D61">
            <w:pPr>
              <w:rPr>
                <w:rFonts w:ascii="Arial" w:hAnsi="Arial" w:cs="Arial"/>
                <w:sz w:val="18"/>
                <w:szCs w:val="17"/>
              </w:rPr>
            </w:pPr>
            <w:r w:rsidRPr="004565FD">
              <w:rPr>
                <w:rFonts w:ascii="Arial" w:hAnsi="Arial" w:cs="Arial"/>
                <w:sz w:val="18"/>
                <w:szCs w:val="17"/>
              </w:rPr>
              <w:t xml:space="preserve">Gas hazards </w:t>
            </w:r>
          </w:p>
          <w:p w14:paraId="43D130A5" w14:textId="77777777" w:rsidR="00166D61" w:rsidRPr="004565FD" w:rsidRDefault="00166D61">
            <w:pPr>
              <w:rPr>
                <w:rFonts w:ascii="Arial" w:hAnsi="Arial" w:cs="Arial"/>
                <w:sz w:val="18"/>
                <w:szCs w:val="17"/>
              </w:rPr>
            </w:pPr>
            <w:r w:rsidRPr="004565FD">
              <w:rPr>
                <w:rFonts w:ascii="Arial" w:hAnsi="Arial" w:cs="Arial"/>
                <w:sz w:val="18"/>
                <w:szCs w:val="17"/>
              </w:rPr>
              <w:t>Electrical hazards</w:t>
            </w:r>
          </w:p>
          <w:p w14:paraId="63CA7C6A" w14:textId="03EA0512" w:rsidR="002561E3" w:rsidRPr="004565FD" w:rsidRDefault="002561E3">
            <w:pPr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119D17CA" w14:textId="77777777" w:rsidR="0002518F" w:rsidRPr="004565FD" w:rsidRDefault="0002518F" w:rsidP="0002518F">
            <w:pPr>
              <w:rPr>
                <w:rFonts w:ascii="Arial" w:hAnsi="Arial" w:cs="Arial"/>
                <w:sz w:val="18"/>
                <w:szCs w:val="17"/>
              </w:rPr>
            </w:pPr>
            <w:r w:rsidRPr="004565FD">
              <w:rPr>
                <w:rFonts w:ascii="Arial" w:hAnsi="Arial" w:cs="Arial"/>
                <w:sz w:val="18"/>
                <w:szCs w:val="17"/>
              </w:rPr>
              <w:t>Burns</w:t>
            </w:r>
          </w:p>
          <w:p w14:paraId="507081AA" w14:textId="77777777" w:rsidR="0002518F" w:rsidRPr="004565FD" w:rsidRDefault="0002518F" w:rsidP="0002518F">
            <w:pPr>
              <w:rPr>
                <w:rFonts w:ascii="Arial" w:hAnsi="Arial" w:cs="Arial"/>
                <w:sz w:val="18"/>
                <w:szCs w:val="17"/>
              </w:rPr>
            </w:pPr>
            <w:r w:rsidRPr="004565FD">
              <w:rPr>
                <w:rFonts w:ascii="Arial" w:hAnsi="Arial" w:cs="Arial"/>
                <w:sz w:val="18"/>
                <w:szCs w:val="17"/>
              </w:rPr>
              <w:t>Scalds</w:t>
            </w:r>
          </w:p>
          <w:p w14:paraId="4CCCE457" w14:textId="77777777" w:rsidR="0002518F" w:rsidRPr="004565FD" w:rsidRDefault="0002518F" w:rsidP="0002518F">
            <w:pPr>
              <w:rPr>
                <w:rFonts w:ascii="Arial" w:hAnsi="Arial" w:cs="Arial"/>
                <w:sz w:val="18"/>
                <w:szCs w:val="17"/>
              </w:rPr>
            </w:pPr>
            <w:r w:rsidRPr="004565FD">
              <w:rPr>
                <w:rFonts w:ascii="Arial" w:hAnsi="Arial" w:cs="Arial"/>
                <w:sz w:val="18"/>
                <w:szCs w:val="17"/>
              </w:rPr>
              <w:t>Slips and falls</w:t>
            </w:r>
          </w:p>
          <w:p w14:paraId="7AFCA478" w14:textId="77777777" w:rsidR="0002518F" w:rsidRPr="004565FD" w:rsidRDefault="0002518F" w:rsidP="0002518F">
            <w:pPr>
              <w:rPr>
                <w:rFonts w:ascii="Arial" w:hAnsi="Arial" w:cs="Arial"/>
                <w:sz w:val="18"/>
                <w:szCs w:val="17"/>
              </w:rPr>
            </w:pPr>
            <w:r w:rsidRPr="004565FD">
              <w:rPr>
                <w:rFonts w:ascii="Arial" w:hAnsi="Arial" w:cs="Arial"/>
                <w:sz w:val="18"/>
                <w:szCs w:val="17"/>
              </w:rPr>
              <w:t>Fire and explosion</w:t>
            </w:r>
          </w:p>
          <w:p w14:paraId="0812E4DB" w14:textId="77777777" w:rsidR="00166D61" w:rsidRDefault="0002518F" w:rsidP="0002518F">
            <w:pPr>
              <w:rPr>
                <w:rFonts w:ascii="Arial" w:hAnsi="Arial" w:cs="Arial"/>
                <w:sz w:val="18"/>
                <w:szCs w:val="17"/>
              </w:rPr>
            </w:pPr>
            <w:r w:rsidRPr="004565FD">
              <w:rPr>
                <w:rFonts w:ascii="Arial" w:hAnsi="Arial" w:cs="Arial"/>
                <w:sz w:val="18"/>
                <w:szCs w:val="17"/>
              </w:rPr>
              <w:t xml:space="preserve">Electric shock, burns </w:t>
            </w:r>
          </w:p>
          <w:p w14:paraId="14614B5A" w14:textId="36D9D36A" w:rsidR="006C124A" w:rsidRPr="004565FD" w:rsidRDefault="006C124A" w:rsidP="0002518F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Cuts and lacerations</w:t>
            </w: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747FA0" w:rsidRPr="008C0514" w14:paraId="2B63BA22" w14:textId="77777777" w:rsidTr="00891444">
        <w:trPr>
          <w:trHeight w:val="627"/>
        </w:trPr>
        <w:tc>
          <w:tcPr>
            <w:tcW w:w="9242" w:type="dxa"/>
            <w:gridSpan w:val="5"/>
            <w:vAlign w:val="center"/>
          </w:tcPr>
          <w:p w14:paraId="1F4957D1" w14:textId="77777777" w:rsidR="00747FA0" w:rsidRPr="00747FA0" w:rsidRDefault="00747FA0" w:rsidP="006C124A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18"/>
              </w:rPr>
            </w:pPr>
            <w:r w:rsidRPr="00747FA0">
              <w:rPr>
                <w:rFonts w:ascii="Arial" w:hAnsi="Arial" w:cs="Arial"/>
                <w:sz w:val="18"/>
              </w:rPr>
              <w:t>Equipment securely sited with adequate space, lighting and ventilation.</w:t>
            </w:r>
          </w:p>
          <w:p w14:paraId="5BBAC08B" w14:textId="77777777" w:rsidR="00747FA0" w:rsidRPr="00747FA0" w:rsidRDefault="00747FA0" w:rsidP="006C124A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18"/>
              </w:rPr>
            </w:pPr>
            <w:r w:rsidRPr="00747FA0">
              <w:rPr>
                <w:rFonts w:ascii="Arial" w:hAnsi="Arial" w:cs="Arial"/>
                <w:sz w:val="18"/>
              </w:rPr>
              <w:t>Equipment to be maintained by competent persons and in accordance with manufacturer's guidance where available</w:t>
            </w:r>
          </w:p>
          <w:p w14:paraId="1FA0FBD7" w14:textId="234EEB9A" w:rsidR="00747FA0" w:rsidRPr="006C124A" w:rsidRDefault="00747FA0" w:rsidP="006C124A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18"/>
              </w:rPr>
            </w:pPr>
            <w:r w:rsidRPr="00747FA0">
              <w:rPr>
                <w:rFonts w:ascii="Arial" w:hAnsi="Arial" w:cs="Arial"/>
                <w:sz w:val="18"/>
              </w:rPr>
              <w:t>Employees trained in the correct use and operation of cooking equipment, all users must complete the Preventing Burns and Scald Injuries Safety Conversation 3</w:t>
            </w:r>
            <w:r w:rsidRPr="006C124A">
              <w:rPr>
                <w:rFonts w:ascii="Arial" w:hAnsi="Arial" w:cs="Arial"/>
                <w:sz w:val="18"/>
              </w:rPr>
              <w:t xml:space="preserve"> </w:t>
            </w:r>
          </w:p>
          <w:p w14:paraId="7C3D0F0E" w14:textId="34BCDB64" w:rsidR="006C124A" w:rsidRDefault="006C124A" w:rsidP="006C124A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18"/>
              </w:rPr>
            </w:pPr>
            <w:r w:rsidRPr="00747FA0">
              <w:rPr>
                <w:rFonts w:ascii="Arial" w:hAnsi="Arial" w:cs="Arial"/>
                <w:sz w:val="18"/>
              </w:rPr>
              <w:t>Gas appliances to be fitted with automatic ignition devices wherever practicable.</w:t>
            </w:r>
          </w:p>
          <w:p w14:paraId="4C3963D1" w14:textId="2521279E" w:rsidR="006C124A" w:rsidRPr="00747FA0" w:rsidRDefault="006C124A" w:rsidP="006C124A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Oven fans (where fitted) to be covered with a suitable guard</w:t>
            </w:r>
          </w:p>
          <w:p w14:paraId="4D778312" w14:textId="77777777" w:rsidR="006C124A" w:rsidRPr="00747FA0" w:rsidRDefault="006C124A" w:rsidP="006C124A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18"/>
              </w:rPr>
            </w:pPr>
            <w:r w:rsidRPr="00747FA0">
              <w:rPr>
                <w:rFonts w:ascii="Arial" w:hAnsi="Arial" w:cs="Arial"/>
                <w:sz w:val="18"/>
              </w:rPr>
              <w:t>Hand held igniters or long wax tapers to be provided where necessary for lighting gas equipment.</w:t>
            </w:r>
          </w:p>
          <w:p w14:paraId="7CEC3475" w14:textId="77777777" w:rsidR="006C124A" w:rsidRPr="00747FA0" w:rsidRDefault="006C124A" w:rsidP="006C124A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18"/>
              </w:rPr>
            </w:pPr>
            <w:r w:rsidRPr="00747FA0">
              <w:rPr>
                <w:rFonts w:ascii="Arial" w:hAnsi="Arial" w:cs="Arial"/>
                <w:sz w:val="18"/>
              </w:rPr>
              <w:t>Where applicable, employees instructed to switch on extraction ventilation equipment during cooking operations to remove heat, cooking fumes, steam and vapours.</w:t>
            </w:r>
          </w:p>
          <w:p w14:paraId="0CA5746D" w14:textId="77777777" w:rsidR="006C124A" w:rsidRPr="00747FA0" w:rsidRDefault="006C124A" w:rsidP="006C124A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18"/>
              </w:rPr>
            </w:pPr>
            <w:r w:rsidRPr="00747FA0">
              <w:rPr>
                <w:rFonts w:ascii="Arial" w:hAnsi="Arial" w:cs="Arial"/>
                <w:sz w:val="18"/>
              </w:rPr>
              <w:t>Equipment faults and breakdowns to be reported to the appropriate person or organisation for repair.</w:t>
            </w:r>
          </w:p>
          <w:p w14:paraId="17C5DBCE" w14:textId="77777777" w:rsidR="006C124A" w:rsidRDefault="006C124A" w:rsidP="006C124A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18"/>
              </w:rPr>
            </w:pPr>
            <w:r w:rsidRPr="00747FA0">
              <w:rPr>
                <w:rFonts w:ascii="Arial" w:hAnsi="Arial" w:cs="Arial"/>
                <w:sz w:val="18"/>
              </w:rPr>
              <w:t>Where faults pose a risk of injury, equipment to be switched off, isolated and labelled “DO NOT USE” until properly repaired</w:t>
            </w:r>
          </w:p>
          <w:p w14:paraId="7DEA3C98" w14:textId="675DE277" w:rsidR="00747FA0" w:rsidRPr="00747FA0" w:rsidRDefault="00747FA0" w:rsidP="006C124A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18"/>
              </w:rPr>
            </w:pPr>
            <w:r w:rsidRPr="00747FA0">
              <w:rPr>
                <w:rFonts w:ascii="Arial" w:hAnsi="Arial" w:cs="Arial"/>
                <w:sz w:val="18"/>
              </w:rPr>
              <w:t>Cooking pans not to be left unattended when cooking with hot fats and oils.</w:t>
            </w:r>
          </w:p>
          <w:p w14:paraId="1E239D17" w14:textId="77777777" w:rsidR="00747FA0" w:rsidRPr="00747FA0" w:rsidRDefault="00747FA0" w:rsidP="006C124A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18"/>
              </w:rPr>
            </w:pPr>
            <w:r w:rsidRPr="00747FA0">
              <w:rPr>
                <w:rFonts w:ascii="Arial" w:hAnsi="Arial" w:cs="Arial"/>
                <w:sz w:val="18"/>
              </w:rPr>
              <w:t>Provision and correct use of oven cloths and/or oven gloves (PPE) and the checking of their condition at least monthly.</w:t>
            </w:r>
          </w:p>
          <w:p w14:paraId="0E8518A9" w14:textId="77777777" w:rsidR="006C124A" w:rsidRPr="006C124A" w:rsidRDefault="006C124A" w:rsidP="006C124A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18"/>
              </w:rPr>
            </w:pPr>
            <w:r w:rsidRPr="006C124A">
              <w:rPr>
                <w:rFonts w:ascii="Arial" w:hAnsi="Arial" w:cs="Arial"/>
                <w:sz w:val="18"/>
              </w:rPr>
              <w:t>Safe manual handling practices to be used when moving heavy containers of hot food or liquids from the range and use a trolley where practicable.</w:t>
            </w:r>
          </w:p>
          <w:p w14:paraId="7F8156DD" w14:textId="291BA192" w:rsidR="00747FA0" w:rsidRPr="006C124A" w:rsidRDefault="006C124A" w:rsidP="006C124A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18"/>
              </w:rPr>
            </w:pPr>
            <w:r w:rsidRPr="006C124A">
              <w:rPr>
                <w:rFonts w:ascii="Arial" w:hAnsi="Arial" w:cs="Arial"/>
                <w:sz w:val="18"/>
              </w:rPr>
              <w:t>Where practicable, the use of oven shelves above eye-level should be avoided when hot liquids and fats could spill from cooking containers when they are being lifted into or out of the oven.</w:t>
            </w:r>
          </w:p>
          <w:p w14:paraId="1FEE4B7B" w14:textId="77777777" w:rsidR="00747FA0" w:rsidRPr="00747FA0" w:rsidRDefault="00747FA0" w:rsidP="006C124A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18"/>
              </w:rPr>
            </w:pPr>
            <w:r w:rsidRPr="00747FA0">
              <w:rPr>
                <w:rFonts w:ascii="Arial" w:hAnsi="Arial" w:cs="Arial"/>
                <w:sz w:val="18"/>
              </w:rPr>
              <w:t xml:space="preserve">Spillages to be cleaned up as they </w:t>
            </w:r>
            <w:proofErr w:type="gramStart"/>
            <w:r w:rsidRPr="00747FA0">
              <w:rPr>
                <w:rFonts w:ascii="Arial" w:hAnsi="Arial" w:cs="Arial"/>
                <w:sz w:val="18"/>
              </w:rPr>
              <w:t>occur</w:t>
            </w:r>
            <w:proofErr w:type="gramEnd"/>
            <w:r w:rsidRPr="00747FA0">
              <w:rPr>
                <w:rFonts w:ascii="Arial" w:hAnsi="Arial" w:cs="Arial"/>
                <w:sz w:val="18"/>
              </w:rPr>
              <w:t xml:space="preserve"> and wet floor warning signs used when appropriate.</w:t>
            </w:r>
          </w:p>
          <w:p w14:paraId="67A65F0D" w14:textId="005D67E8" w:rsidR="006C124A" w:rsidRPr="006C124A" w:rsidRDefault="006C124A" w:rsidP="006C124A">
            <w:pPr>
              <w:pStyle w:val="BodyText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C765AD">
              <w:rPr>
                <w:rFonts w:ascii="Arial" w:hAnsi="Arial" w:cs="Arial"/>
                <w:sz w:val="18"/>
                <w:szCs w:val="18"/>
              </w:rPr>
              <w:t>The cooking range and oven to be switched off and allowed to cool before manual cleaning.</w:t>
            </w:r>
          </w:p>
          <w:p w14:paraId="29AB4ADD" w14:textId="24122872" w:rsidR="00747FA0" w:rsidRPr="00747FA0" w:rsidRDefault="00747FA0" w:rsidP="006C124A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b/>
              </w:rPr>
            </w:pPr>
            <w:r w:rsidRPr="00747FA0">
              <w:rPr>
                <w:rFonts w:ascii="Arial" w:hAnsi="Arial" w:cs="Arial"/>
                <w:sz w:val="18"/>
              </w:rPr>
              <w:t xml:space="preserve">Implement the Safe System of Work/Control Measures in Electrical Safety </w:t>
            </w:r>
            <w:r w:rsidR="00057CF5">
              <w:rPr>
                <w:rFonts w:ascii="Arial" w:hAnsi="Arial" w:cs="Arial"/>
                <w:sz w:val="18"/>
              </w:rPr>
              <w:t>(</w:t>
            </w:r>
            <w:r w:rsidRPr="00747FA0">
              <w:rPr>
                <w:rFonts w:ascii="Arial" w:hAnsi="Arial" w:cs="Arial"/>
                <w:sz w:val="18"/>
              </w:rPr>
              <w:t>MAN 05</w:t>
            </w:r>
            <w:r w:rsidR="00057CF5">
              <w:rPr>
                <w:rFonts w:ascii="Arial" w:hAnsi="Arial" w:cs="Arial"/>
                <w:sz w:val="18"/>
              </w:rPr>
              <w:t>)</w:t>
            </w:r>
            <w:r w:rsidRPr="00747FA0">
              <w:rPr>
                <w:rFonts w:ascii="Arial" w:hAnsi="Arial" w:cs="Arial"/>
                <w:sz w:val="18"/>
              </w:rPr>
              <w:t xml:space="preserve"> or Gas Safety</w:t>
            </w:r>
            <w:r w:rsidR="00057CF5">
              <w:rPr>
                <w:rFonts w:ascii="Arial" w:hAnsi="Arial" w:cs="Arial"/>
                <w:sz w:val="18"/>
              </w:rPr>
              <w:t xml:space="preserve"> (C</w:t>
            </w:r>
            <w:r w:rsidRPr="00747FA0">
              <w:rPr>
                <w:rFonts w:ascii="Arial" w:hAnsi="Arial" w:cs="Arial"/>
                <w:sz w:val="18"/>
              </w:rPr>
              <w:t>OM 03</w:t>
            </w:r>
            <w:r w:rsidR="00057CF5">
              <w:rPr>
                <w:rFonts w:ascii="Arial" w:hAnsi="Arial" w:cs="Arial"/>
                <w:sz w:val="18"/>
              </w:rPr>
              <w:t>)</w:t>
            </w:r>
            <w:r w:rsidRPr="00747FA0">
              <w:rPr>
                <w:rFonts w:ascii="Arial" w:hAnsi="Arial" w:cs="Arial"/>
                <w:sz w:val="18"/>
              </w:rPr>
              <w:t xml:space="preserve"> Risk Assessments.</w:t>
            </w:r>
          </w:p>
        </w:tc>
      </w:tr>
      <w:tr w:rsidR="006E6143" w:rsidRPr="008C0514" w14:paraId="702A5F6D" w14:textId="77777777" w:rsidTr="007E6D03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6E6143" w:rsidRDefault="006E6143" w:rsidP="007E6D0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Specific Actions</w:t>
            </w:r>
          </w:p>
          <w:p w14:paraId="6F4CCB91" w14:textId="4CA149FB" w:rsidR="00BD38D9" w:rsidRPr="00E46B77" w:rsidRDefault="00BD38D9" w:rsidP="007E6D03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>a</w:t>
            </w:r>
            <w:bookmarkStart w:id="0" w:name="_GoBack"/>
            <w:bookmarkEnd w:id="0"/>
            <w:r w:rsidRPr="00E46B77">
              <w:rPr>
                <w:rFonts w:ascii="Arial" w:hAnsi="Arial" w:cs="Arial"/>
                <w:sz w:val="20"/>
              </w:rPr>
              <w:t xml:space="preserve">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E46B77">
        <w:trPr>
          <w:trHeight w:val="1360"/>
        </w:trPr>
        <w:tc>
          <w:tcPr>
            <w:tcW w:w="9242" w:type="dxa"/>
            <w:gridSpan w:val="5"/>
            <w:vAlign w:val="center"/>
          </w:tcPr>
          <w:p w14:paraId="5E5A5F0A" w14:textId="77777777" w:rsidR="006E6143" w:rsidRDefault="006E6143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1AB2930B" w14:textId="77777777" w:rsidR="004126DB" w:rsidRDefault="004126DB" w:rsidP="00747B0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  <w:p w14:paraId="0DCE4B06" w14:textId="77777777" w:rsidR="00C97BB3" w:rsidRDefault="00C97BB3" w:rsidP="00C97BB3">
            <w:pPr>
              <w:rPr>
                <w:rFonts w:ascii="Arial" w:hAnsi="Arial" w:cs="Arial"/>
                <w:sz w:val="18"/>
              </w:rPr>
            </w:pPr>
          </w:p>
          <w:p w14:paraId="2893A896" w14:textId="4FBFD800" w:rsidR="00C97BB3" w:rsidRPr="00C97BB3" w:rsidRDefault="00C97BB3" w:rsidP="00C97BB3">
            <w:pPr>
              <w:rPr>
                <w:rFonts w:ascii="Arial" w:hAnsi="Arial" w:cs="Arial"/>
                <w:sz w:val="18"/>
              </w:rPr>
            </w:pPr>
          </w:p>
        </w:tc>
      </w:tr>
      <w:tr w:rsidR="00747B08" w:rsidRPr="008C0514" w14:paraId="0F8F1F6C" w14:textId="77777777" w:rsidTr="00747B08">
        <w:trPr>
          <w:trHeight w:val="814"/>
        </w:trPr>
        <w:tc>
          <w:tcPr>
            <w:tcW w:w="3539" w:type="dxa"/>
            <w:gridSpan w:val="2"/>
          </w:tcPr>
          <w:p w14:paraId="3934C644" w14:textId="462E5096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Unit Manager Name</w:t>
            </w:r>
          </w:p>
        </w:tc>
        <w:tc>
          <w:tcPr>
            <w:tcW w:w="3402" w:type="dxa"/>
            <w:gridSpan w:val="2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6F3CEE4E" w14:textId="75E0E49C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</w:tbl>
    <w:p w14:paraId="602F0BDC" w14:textId="56C9E0DB" w:rsidR="003366C9" w:rsidRDefault="003366C9">
      <w:pPr>
        <w:rPr>
          <w:rFonts w:ascii="Arial" w:hAnsi="Arial" w:cs="Arial"/>
        </w:rPr>
      </w:pPr>
    </w:p>
    <w:p w14:paraId="19C41E5B" w14:textId="69D1D6BA" w:rsidR="003366C9" w:rsidRDefault="003366C9">
      <w:pPr>
        <w:rPr>
          <w:rFonts w:ascii="Arial" w:hAnsi="Arial" w:cs="Arial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402"/>
        <w:gridCol w:w="2301"/>
      </w:tblGrid>
      <w:tr w:rsidR="005824DF" w:rsidRPr="008C0514" w14:paraId="555C18DC" w14:textId="77777777" w:rsidTr="007E6D03">
        <w:trPr>
          <w:trHeight w:val="559"/>
        </w:trPr>
        <w:tc>
          <w:tcPr>
            <w:tcW w:w="9242" w:type="dxa"/>
            <w:gridSpan w:val="4"/>
            <w:tcBorders>
              <w:bottom w:val="nil"/>
            </w:tcBorders>
            <w:vAlign w:val="center"/>
          </w:tcPr>
          <w:p w14:paraId="19470A1F" w14:textId="5868305F" w:rsidR="005824DF" w:rsidRPr="008C0514" w:rsidRDefault="00481246" w:rsidP="007E6D03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Safety Card </w:t>
            </w:r>
            <w:r w:rsidR="005824DF">
              <w:rPr>
                <w:rFonts w:ascii="Arial" w:hAnsi="Arial" w:cs="Arial"/>
                <w:b/>
                <w:sz w:val="28"/>
              </w:rPr>
              <w:t>Training Record</w:t>
            </w:r>
          </w:p>
        </w:tc>
      </w:tr>
      <w:tr w:rsidR="005824DF" w:rsidRPr="008C0514" w14:paraId="1079BACF" w14:textId="77777777" w:rsidTr="007E6D03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40DAC3EE" w:rsidR="005824DF" w:rsidRPr="00437F40" w:rsidRDefault="005824DF" w:rsidP="007E6D0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CAT</w:t>
            </w:r>
            <w:r w:rsidR="00C97BB3">
              <w:rPr>
                <w:rFonts w:ascii="Arial" w:hAnsi="Arial" w:cs="Arial"/>
                <w:b/>
                <w:sz w:val="28"/>
              </w:rPr>
              <w:t>08</w:t>
            </w:r>
          </w:p>
        </w:tc>
        <w:tc>
          <w:tcPr>
            <w:tcW w:w="7829" w:type="dxa"/>
            <w:gridSpan w:val="3"/>
            <w:tcBorders>
              <w:top w:val="nil"/>
              <w:left w:val="nil"/>
            </w:tcBorders>
            <w:vAlign w:val="center"/>
          </w:tcPr>
          <w:p w14:paraId="31BF3C51" w14:textId="77777777" w:rsidR="005824DF" w:rsidRPr="008C0514" w:rsidRDefault="005824DF" w:rsidP="007E6D03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Cooking (Production of hot food/liquid)</w:t>
            </w:r>
          </w:p>
        </w:tc>
      </w:tr>
      <w:tr w:rsidR="005824DF" w:rsidRPr="008C0514" w14:paraId="09B0F25F" w14:textId="77777777" w:rsidTr="00EB245D">
        <w:trPr>
          <w:trHeight w:val="965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vAlign w:val="center"/>
          </w:tcPr>
          <w:p w14:paraId="77CD3939" w14:textId="77777777" w:rsidR="00EB245D" w:rsidRDefault="00D55456" w:rsidP="007E6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29004056" w14:textId="2DB0EEFD" w:rsidR="005824DF" w:rsidRPr="00D55456" w:rsidRDefault="00D55456" w:rsidP="007E6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 xml:space="preserve">and that I </w:t>
            </w:r>
            <w:proofErr w:type="gramStart"/>
            <w:r w:rsidRPr="00D55456">
              <w:rPr>
                <w:rFonts w:ascii="Arial" w:hAnsi="Arial" w:cs="Arial"/>
                <w:sz w:val="20"/>
                <w:szCs w:val="20"/>
              </w:rPr>
              <w:t>will follow the Safe System of Work at all times</w:t>
            </w:r>
            <w:proofErr w:type="gramEnd"/>
            <w:r w:rsidR="00EB245D"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24DF" w:rsidRPr="008C0514" w14:paraId="465A5AD5" w14:textId="77777777" w:rsidTr="00A564DB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5824DF" w:rsidRPr="005B7B6E" w:rsidRDefault="005B7B6E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 xml:space="preserve">Operative </w:t>
            </w:r>
            <w:r w:rsidR="00A564DB" w:rsidRPr="005B7B6E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3402" w:type="dxa"/>
            <w:vAlign w:val="center"/>
          </w:tcPr>
          <w:p w14:paraId="191A2552" w14:textId="34DCAB44" w:rsidR="005824DF" w:rsidRPr="005B7B6E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2301" w:type="dxa"/>
            <w:vAlign w:val="center"/>
          </w:tcPr>
          <w:p w14:paraId="1B166CD8" w14:textId="77777777" w:rsidR="005824DF" w:rsidRPr="005B7B6E" w:rsidRDefault="005824DF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</w:tr>
      <w:tr w:rsidR="00A564DB" w:rsidRPr="008C0514" w14:paraId="29459CD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9DF3C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9DFE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F61461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40DCF6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0DB7D4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37D8B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4723C5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D820CF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404E0F1E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AE39E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2EF459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2CF5C2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95F6AB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8CDB8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C085ED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E4502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3E4652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B762B5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FCB4B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50CE9E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C783999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26BD7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53EFCE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D1E7C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245C6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9CAE57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23149E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9968F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A5D23C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41FBB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3A0C27D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F602A4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6D81C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068E5A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33E8B2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F4D659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F6989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EBC77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0A6A6EF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CEE3A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3A37D16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DD5C6E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26848B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5B9393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89C13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C19FCE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06D79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FED75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0BC1B7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B75605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EF4748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3CF5C9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209B5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29A515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64EA3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1ED718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AFC774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E61EC6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DB745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10"/>
      <w:footerReference w:type="default" r:id="rId11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FCFBD" w14:textId="77777777" w:rsidR="00D73089" w:rsidRDefault="00D73089" w:rsidP="00252A88">
      <w:pPr>
        <w:spacing w:after="0" w:line="240" w:lineRule="auto"/>
      </w:pPr>
      <w:r>
        <w:separator/>
      </w:r>
    </w:p>
  </w:endnote>
  <w:endnote w:type="continuationSeparator" w:id="0">
    <w:p w14:paraId="0156AF9C" w14:textId="77777777" w:rsidR="00D73089" w:rsidRDefault="00D73089" w:rsidP="0025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77FD84B3" w:rsidR="00544230" w:rsidRPr="009A3DC5" w:rsidRDefault="0018605A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CAT</w:t>
          </w:r>
          <w:r w:rsidR="00C97BB3">
            <w:rPr>
              <w:b/>
              <w:bCs/>
              <w:sz w:val="16"/>
            </w:rPr>
            <w:t>08</w:t>
          </w:r>
          <w:r>
            <w:rPr>
              <w:b/>
              <w:bCs/>
              <w:sz w:val="16"/>
            </w:rPr>
            <w:t xml:space="preserve"> Safety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04498103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544230" w:rsidRPr="009A3DC5">
            <w:rPr>
              <w:b/>
              <w:bCs/>
              <w:sz w:val="16"/>
            </w:rPr>
            <w:t>/</w:t>
          </w:r>
          <w:r>
            <w:rPr>
              <w:b/>
              <w:bCs/>
              <w:sz w:val="16"/>
            </w:rPr>
            <w:t>WSMS/</w:t>
          </w:r>
          <w:r w:rsidR="0018605A">
            <w:rPr>
              <w:b/>
              <w:bCs/>
              <w:sz w:val="16"/>
            </w:rPr>
            <w:t>CAT</w:t>
          </w:r>
          <w:r w:rsidR="00C97BB3">
            <w:rPr>
              <w:b/>
              <w:bCs/>
              <w:sz w:val="16"/>
            </w:rPr>
            <w:t>08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5E2420C3" w:rsidR="00544230" w:rsidRPr="00E7760A" w:rsidRDefault="00E7760A" w:rsidP="00544230">
          <w:pPr>
            <w:spacing w:after="0" w:line="240" w:lineRule="auto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Sept 21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2F29A299" w:rsidR="00544230" w:rsidRPr="007475AE" w:rsidRDefault="00E7760A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CBE59" w14:textId="77777777" w:rsidR="00D73089" w:rsidRDefault="00D73089" w:rsidP="00252A88">
      <w:pPr>
        <w:spacing w:after="0" w:line="240" w:lineRule="auto"/>
      </w:pPr>
      <w:r>
        <w:separator/>
      </w:r>
    </w:p>
  </w:footnote>
  <w:footnote w:type="continuationSeparator" w:id="0">
    <w:p w14:paraId="0348C44C" w14:textId="77777777" w:rsidR="00D73089" w:rsidRDefault="00D73089" w:rsidP="0025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752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E7E18"/>
    <w:multiLevelType w:val="hybridMultilevel"/>
    <w:tmpl w:val="6B54F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2518F"/>
    <w:rsid w:val="000447ED"/>
    <w:rsid w:val="00057CF5"/>
    <w:rsid w:val="000B660B"/>
    <w:rsid w:val="000D5060"/>
    <w:rsid w:val="00103B91"/>
    <w:rsid w:val="0014152C"/>
    <w:rsid w:val="00166D61"/>
    <w:rsid w:val="0018605A"/>
    <w:rsid w:val="00252A88"/>
    <w:rsid w:val="002561E3"/>
    <w:rsid w:val="002A1B38"/>
    <w:rsid w:val="002B0C17"/>
    <w:rsid w:val="002B2FF0"/>
    <w:rsid w:val="00327BB8"/>
    <w:rsid w:val="003366C9"/>
    <w:rsid w:val="003945A0"/>
    <w:rsid w:val="003C285E"/>
    <w:rsid w:val="004003E4"/>
    <w:rsid w:val="004126DB"/>
    <w:rsid w:val="00437F40"/>
    <w:rsid w:val="00455BF4"/>
    <w:rsid w:val="004565FD"/>
    <w:rsid w:val="00481246"/>
    <w:rsid w:val="004B7313"/>
    <w:rsid w:val="004F1B42"/>
    <w:rsid w:val="00544230"/>
    <w:rsid w:val="00553841"/>
    <w:rsid w:val="0056421B"/>
    <w:rsid w:val="005824DF"/>
    <w:rsid w:val="00587103"/>
    <w:rsid w:val="005A5473"/>
    <w:rsid w:val="005B7B6E"/>
    <w:rsid w:val="005C0273"/>
    <w:rsid w:val="005E5463"/>
    <w:rsid w:val="00645BB1"/>
    <w:rsid w:val="00674043"/>
    <w:rsid w:val="006C124A"/>
    <w:rsid w:val="006C7388"/>
    <w:rsid w:val="006E6143"/>
    <w:rsid w:val="007226AB"/>
    <w:rsid w:val="007475AE"/>
    <w:rsid w:val="00747B08"/>
    <w:rsid w:val="00747FA0"/>
    <w:rsid w:val="00765033"/>
    <w:rsid w:val="00786787"/>
    <w:rsid w:val="00796FA4"/>
    <w:rsid w:val="007C78F5"/>
    <w:rsid w:val="007F0C8F"/>
    <w:rsid w:val="00864E50"/>
    <w:rsid w:val="00891444"/>
    <w:rsid w:val="008B7380"/>
    <w:rsid w:val="008C0514"/>
    <w:rsid w:val="008D3590"/>
    <w:rsid w:val="008E446E"/>
    <w:rsid w:val="009142B7"/>
    <w:rsid w:val="00976D04"/>
    <w:rsid w:val="00993275"/>
    <w:rsid w:val="009C389C"/>
    <w:rsid w:val="009C3C8E"/>
    <w:rsid w:val="009C5A3E"/>
    <w:rsid w:val="009F5D08"/>
    <w:rsid w:val="00A1689A"/>
    <w:rsid w:val="00A564DB"/>
    <w:rsid w:val="00A82515"/>
    <w:rsid w:val="00AF6101"/>
    <w:rsid w:val="00BA7A2E"/>
    <w:rsid w:val="00BD38D9"/>
    <w:rsid w:val="00BD4DAE"/>
    <w:rsid w:val="00BF7D71"/>
    <w:rsid w:val="00C07667"/>
    <w:rsid w:val="00C34CD7"/>
    <w:rsid w:val="00C34D1E"/>
    <w:rsid w:val="00C60FEC"/>
    <w:rsid w:val="00C97BB3"/>
    <w:rsid w:val="00CF44B8"/>
    <w:rsid w:val="00D03E7C"/>
    <w:rsid w:val="00D51983"/>
    <w:rsid w:val="00D55456"/>
    <w:rsid w:val="00D73089"/>
    <w:rsid w:val="00D923EB"/>
    <w:rsid w:val="00DE6AF2"/>
    <w:rsid w:val="00DF04DD"/>
    <w:rsid w:val="00E3077D"/>
    <w:rsid w:val="00E46B77"/>
    <w:rsid w:val="00E6472F"/>
    <w:rsid w:val="00E7760A"/>
    <w:rsid w:val="00E83405"/>
    <w:rsid w:val="00EA0553"/>
    <w:rsid w:val="00EB245D"/>
    <w:rsid w:val="00EE3DE3"/>
    <w:rsid w:val="00F0473E"/>
    <w:rsid w:val="00F30398"/>
    <w:rsid w:val="00F4544E"/>
    <w:rsid w:val="00FB5F35"/>
    <w:rsid w:val="00FC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AF2ECD"/>
  <w15:chartTrackingRefBased/>
  <w15:docId w15:val="{44B1408E-09C3-465A-B92A-9325729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unhideWhenUsed/>
    <w:rsid w:val="006C1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6C124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93485-9684-44BC-B0C1-BECA84FB89A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05494de-7f70-4b10-aa1d-981be3329ec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A119FA3-64CC-431C-AE11-C02415B9F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2019-12-17T12:20:00Z</cp:lastPrinted>
  <dcterms:created xsi:type="dcterms:W3CDTF">2021-09-23T15:11:00Z</dcterms:created>
  <dcterms:modified xsi:type="dcterms:W3CDTF">2021-09-23T15:11:00Z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